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8874144"/>
        <w:docPartObj>
          <w:docPartGallery w:val="Cover Pages"/>
          <w:docPartUnique/>
        </w:docPartObj>
      </w:sdtPr>
      <w:sdtContent>
        <w:p w14:paraId="1030D8EB" w14:textId="29EA2DCB" w:rsidR="007A3D31" w:rsidRPr="00627DA0" w:rsidRDefault="007A3D31">
          <w:r w:rsidRPr="00627DA0">
            <mc:AlternateContent>
              <mc:Choice Requires="wpg">
                <w:drawing>
                  <wp:anchor distT="0" distB="0" distL="114300" distR="114300" simplePos="0" relativeHeight="251658241" behindDoc="0" locked="0" layoutInCell="1" allowOverlap="1" wp14:anchorId="3CFE6A14" wp14:editId="51EA2417">
                    <wp:simplePos x="0" y="0"/>
                    <wp:positionH relativeFrom="page">
                      <wp:posOffset>210820</wp:posOffset>
                    </wp:positionH>
                    <wp:positionV relativeFrom="page">
                      <wp:posOffset>304800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A5E78F" id="Group 149" o:spid="_x0000_s1026" style="position:absolute;margin-left:16.6pt;margin-top:24pt;width:8in;height:95.7pt;z-index:251658241;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MK86UDdAAAACgEAAA8AAABkcnMvZG93&#10;bnJldi54bWxMj81OwzAQhO9IvIO1SNyo80cVQpyKIvEAFIR6dOMliRqv09hpE56e7QmOuzOa+abc&#10;zLYXZxx950hBvIpAINXOdNQo+Px4e8hB+KDJ6N4RKljQw6a6vSl1YdyF3vG8C43gEPKFVtCGMBRS&#10;+rpFq/3KDUisfbvR6sDn2Egz6guH214mUbSWVnfEDa0e8LXF+ribLPfuk+0U/ywLyf3XcTss69OU&#10;nZS6v5tfnkEEnMOfGa74jA4VMx3cRMaLXkGaJuxUkOU86arH+SN/DgqS9CkDWZXy/4Tq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002c7c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p w14:paraId="0CF6D070" w14:textId="18F12EC0" w:rsidR="007A3D31" w:rsidRPr="00627DA0" w:rsidRDefault="00CB2714">
          <w:r w:rsidRPr="00627DA0">
            <mc:AlternateContent>
              <mc:Choice Requires="wps">
                <w:drawing>
                  <wp:anchor distT="0" distB="0" distL="114300" distR="114300" simplePos="0" relativeHeight="251658243" behindDoc="0" locked="0" layoutInCell="1" allowOverlap="1" wp14:anchorId="7D5C8576" wp14:editId="1AE91DB4">
                    <wp:simplePos x="0" y="0"/>
                    <wp:positionH relativeFrom="column">
                      <wp:posOffset>3934865</wp:posOffset>
                    </wp:positionH>
                    <wp:positionV relativeFrom="paragraph">
                      <wp:posOffset>6283204</wp:posOffset>
                    </wp:positionV>
                    <wp:extent cx="1978660" cy="313690"/>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1978660" cy="313690"/>
                            </a:xfrm>
                            <a:prstGeom prst="rect">
                              <a:avLst/>
                            </a:prstGeom>
                            <a:solidFill>
                              <a:schemeClr val="lt1"/>
                            </a:solidFill>
                            <a:ln w="6350">
                              <a:noFill/>
                            </a:ln>
                          </wps:spPr>
                          <wps:txbx>
                            <w:txbxContent>
                              <w:p w14:paraId="78F090B3" w14:textId="6995F96D" w:rsidR="0092368D" w:rsidRPr="00627DA0" w:rsidRDefault="0092368D" w:rsidP="001C47B6">
                                <w:pPr>
                                  <w:jc w:val="right"/>
                                </w:pPr>
                                <w:r w:rsidRPr="00627DA0">
                                  <w:t>Prepared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5C8576" id="_x0000_t202" coordsize="21600,21600" o:spt="202" path="m,l,21600r21600,l21600,xe">
                    <v:stroke joinstyle="miter"/>
                    <v:path gradientshapeok="t" o:connecttype="rect"/>
                  </v:shapetype>
                  <v:shape id="Text Box 4" o:spid="_x0000_s1026" type="#_x0000_t202" style="position:absolute;left:0;text-align:left;margin-left:309.85pt;margin-top:494.75pt;width:155.8pt;height:24.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" fillcolor="white [3201]" stroked="f" strokeweight=".5pt">
                    <v:textbox>
                      <w:txbxContent>
                        <w:p w14:paraId="78F090B3" w14:textId="6995F96D" w:rsidR="0092368D" w:rsidRPr="00627DA0" w:rsidRDefault="0092368D" w:rsidP="001C47B6">
                          <w:pPr>
                            <w:jc w:val="right"/>
                          </w:pPr>
                          <w:r w:rsidRPr="00627DA0">
                            <w:t>Prepared by:</w:t>
                          </w:r>
                        </w:p>
                      </w:txbxContent>
                    </v:textbox>
                  </v:shape>
                </w:pict>
              </mc:Fallback>
            </mc:AlternateContent>
          </w:r>
          <w:r w:rsidRPr="00627DA0">
            <w:drawing>
              <wp:anchor distT="0" distB="0" distL="114300" distR="114300" simplePos="0" relativeHeight="251658245" behindDoc="0" locked="0" layoutInCell="1" allowOverlap="1" wp14:anchorId="7D665C31" wp14:editId="0913995F">
                <wp:simplePos x="0" y="0"/>
                <wp:positionH relativeFrom="margin">
                  <wp:posOffset>3970655</wp:posOffset>
                </wp:positionH>
                <wp:positionV relativeFrom="paragraph">
                  <wp:posOffset>6735445</wp:posOffset>
                </wp:positionV>
                <wp:extent cx="1972945" cy="879475"/>
                <wp:effectExtent l="0" t="0" r="0" b="0"/>
                <wp:wrapNone/>
                <wp:docPr id="890178244" name="Picture 6" descr="A black background with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78244" name="Picture 6" descr="A black background with grey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945" cy="879475"/>
                        </a:xfrm>
                        <a:prstGeom prst="rect">
                          <a:avLst/>
                        </a:prstGeom>
                        <a:noFill/>
                      </pic:spPr>
                    </pic:pic>
                  </a:graphicData>
                </a:graphic>
                <wp14:sizeRelH relativeFrom="margin">
                  <wp14:pctWidth>0</wp14:pctWidth>
                </wp14:sizeRelH>
                <wp14:sizeRelV relativeFrom="margin">
                  <wp14:pctHeight>0</wp14:pctHeight>
                </wp14:sizeRelV>
              </wp:anchor>
            </w:drawing>
          </w:r>
          <w:r w:rsidR="007412AC" w:rsidRPr="00627DA0">
            <w:drawing>
              <wp:anchor distT="0" distB="0" distL="114300" distR="114300" simplePos="0" relativeHeight="251658242" behindDoc="0" locked="0" layoutInCell="1" allowOverlap="1" wp14:anchorId="56F346C8" wp14:editId="3FEF6DB2">
                <wp:simplePos x="0" y="0"/>
                <wp:positionH relativeFrom="margin">
                  <wp:posOffset>374650</wp:posOffset>
                </wp:positionH>
                <wp:positionV relativeFrom="paragraph">
                  <wp:posOffset>6720205</wp:posOffset>
                </wp:positionV>
                <wp:extent cx="3208655" cy="896620"/>
                <wp:effectExtent l="0" t="0" r="0" b="0"/>
                <wp:wrapTopAndBottom/>
                <wp:docPr id="3" name="Picture 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house_Energy_ConsultingFull Logo Horizontal_Mediu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8655" cy="896620"/>
                        </a:xfrm>
                        <a:prstGeom prst="rect">
                          <a:avLst/>
                        </a:prstGeom>
                      </pic:spPr>
                    </pic:pic>
                  </a:graphicData>
                </a:graphic>
                <wp14:sizeRelH relativeFrom="margin">
                  <wp14:pctWidth>0</wp14:pctWidth>
                </wp14:sizeRelH>
                <wp14:sizeRelV relativeFrom="margin">
                  <wp14:pctHeight>0</wp14:pctHeight>
                </wp14:sizeRelV>
              </wp:anchor>
            </w:drawing>
          </w:r>
          <w:r w:rsidR="00CC28C4" w:rsidRPr="00627DA0">
            <mc:AlternateContent>
              <mc:Choice Requires="wps">
                <w:drawing>
                  <wp:anchor distT="0" distB="0" distL="114300" distR="114300" simplePos="0" relativeHeight="251658244" behindDoc="0" locked="0" layoutInCell="1" allowOverlap="1" wp14:anchorId="792D1E13" wp14:editId="53F12852">
                    <wp:simplePos x="0" y="0"/>
                    <wp:positionH relativeFrom="margin">
                      <wp:posOffset>3743960</wp:posOffset>
                    </wp:positionH>
                    <wp:positionV relativeFrom="paragraph">
                      <wp:posOffset>4580890</wp:posOffset>
                    </wp:positionV>
                    <wp:extent cx="2197100" cy="409433"/>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100" cy="409433"/>
                            </a:xfrm>
                            <a:prstGeom prst="rect">
                              <a:avLst/>
                            </a:prstGeom>
                            <a:solidFill>
                              <a:schemeClr val="lt1"/>
                            </a:solidFill>
                            <a:ln w="6350">
                              <a:noFill/>
                            </a:ln>
                          </wps:spPr>
                          <wps:txbx>
                            <w:txbxContent>
                              <w:p w14:paraId="63AA65D2" w14:textId="379F17BD" w:rsidR="0092368D" w:rsidRPr="00627DA0" w:rsidRDefault="002F2790" w:rsidP="00CC28C4">
                                <w:pPr>
                                  <w:jc w:val="right"/>
                                  <w:rPr>
                                    <w:rFonts w:cs="Calibri Light"/>
                                    <w:sz w:val="32"/>
                                    <w:szCs w:val="32"/>
                                  </w:rPr>
                                </w:pPr>
                                <w:r w:rsidRPr="00627DA0">
                                  <w:rPr>
                                    <w:rFonts w:cs="Calibri Light"/>
                                    <w:sz w:val="32"/>
                                    <w:szCs w:val="32"/>
                                  </w:rPr>
                                  <w:t xml:space="preserve">September </w:t>
                                </w:r>
                                <w:r w:rsidR="00EA2D7F" w:rsidRPr="00627DA0">
                                  <w:rPr>
                                    <w:rFonts w:cs="Calibri Light"/>
                                    <w:sz w:val="32"/>
                                    <w:szCs w:val="32"/>
                                  </w:rPr>
                                  <w:t>8</w:t>
                                </w:r>
                                <w:r w:rsidR="0086538B" w:rsidRPr="00627DA0">
                                  <w:rPr>
                                    <w:rFonts w:cs="Calibri Light"/>
                                    <w:sz w:val="32"/>
                                    <w:szCs w:val="32"/>
                                  </w:rPr>
                                  <w:t>, 202</w:t>
                                </w:r>
                                <w:r w:rsidR="00ED1CD2" w:rsidRPr="00627DA0">
                                  <w:rPr>
                                    <w:rFonts w:cs="Calibri Light"/>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1E13" id="Text Box 5" o:spid="_x0000_s1027" type="#_x0000_t202" style="position:absolute;left:0;text-align:left;margin-left:294.8pt;margin-top:360.7pt;width:173pt;height:32.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" fillcolor="white [3201]" stroked="f" strokeweight=".5pt">
                    <v:textbox>
                      <w:txbxContent>
                        <w:p w14:paraId="63AA65D2" w14:textId="379F17BD" w:rsidR="0092368D" w:rsidRPr="00627DA0" w:rsidRDefault="002F2790" w:rsidP="00CC28C4">
                          <w:pPr>
                            <w:jc w:val="right"/>
                            <w:rPr>
                              <w:rFonts w:cs="Calibri Light"/>
                              <w:sz w:val="32"/>
                              <w:szCs w:val="32"/>
                            </w:rPr>
                          </w:pPr>
                          <w:r w:rsidRPr="00627DA0">
                            <w:rPr>
                              <w:rFonts w:cs="Calibri Light"/>
                              <w:sz w:val="32"/>
                              <w:szCs w:val="32"/>
                            </w:rPr>
                            <w:t xml:space="preserve">September </w:t>
                          </w:r>
                          <w:r w:rsidR="00EA2D7F" w:rsidRPr="00627DA0">
                            <w:rPr>
                              <w:rFonts w:cs="Calibri Light"/>
                              <w:sz w:val="32"/>
                              <w:szCs w:val="32"/>
                            </w:rPr>
                            <w:t>8</w:t>
                          </w:r>
                          <w:r w:rsidR="0086538B" w:rsidRPr="00627DA0">
                            <w:rPr>
                              <w:rFonts w:cs="Calibri Light"/>
                              <w:sz w:val="32"/>
                              <w:szCs w:val="32"/>
                            </w:rPr>
                            <w:t>, 202</w:t>
                          </w:r>
                          <w:r w:rsidR="00ED1CD2" w:rsidRPr="00627DA0">
                            <w:rPr>
                              <w:rFonts w:cs="Calibri Light"/>
                              <w:sz w:val="32"/>
                              <w:szCs w:val="32"/>
                            </w:rPr>
                            <w:t>5</w:t>
                          </w:r>
                        </w:p>
                      </w:txbxContent>
                    </v:textbox>
                    <w10:wrap anchorx="margin"/>
                  </v:shape>
                </w:pict>
              </mc:Fallback>
            </mc:AlternateContent>
          </w:r>
          <w:r w:rsidR="0087063F" w:rsidRPr="00627DA0">
            <mc:AlternateContent>
              <mc:Choice Requires="wps">
                <w:drawing>
                  <wp:anchor distT="0" distB="0" distL="114300" distR="114300" simplePos="0" relativeHeight="251658240" behindDoc="0" locked="0" layoutInCell="1" allowOverlap="1" wp14:anchorId="005ADA08" wp14:editId="7FA2291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27971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797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10CEA" w14:textId="32250251" w:rsidR="0092368D" w:rsidRPr="00627DA0" w:rsidRDefault="00000000">
                                <w:pPr>
                                  <w:jc w:val="right"/>
                                  <w:rPr>
                                    <w:color w:val="27AAE1" w:themeColor="accent2"/>
                                    <w:sz w:val="64"/>
                                    <w:szCs w:val="64"/>
                                  </w:rPr>
                                </w:pPr>
                                <w:sdt>
                                  <w:sdtPr>
                                    <w:rPr>
                                      <w:rFonts w:cs="Calibri Light"/>
                                      <w:caps/>
                                      <w:color w:val="27AAE1" w:themeColor="accent2"/>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368D" w:rsidRPr="00627DA0">
                                      <w:rPr>
                                        <w:rFonts w:cs="Calibri Light"/>
                                        <w:caps/>
                                        <w:color w:val="27AAE1" w:themeColor="accent2"/>
                                        <w:sz w:val="64"/>
                                        <w:szCs w:val="64"/>
                                      </w:rPr>
                                      <w:t>202</w:t>
                                    </w:r>
                                    <w:r w:rsidR="00ED1CD2" w:rsidRPr="00627DA0">
                                      <w:rPr>
                                        <w:rFonts w:cs="Calibri Light"/>
                                        <w:caps/>
                                        <w:color w:val="27AAE1" w:themeColor="accent2"/>
                                        <w:sz w:val="64"/>
                                        <w:szCs w:val="64"/>
                                      </w:rPr>
                                      <w:t>5</w:t>
                                    </w:r>
                                    <w:r w:rsidR="0092368D" w:rsidRPr="00627DA0">
                                      <w:rPr>
                                        <w:rFonts w:cs="Calibri Light"/>
                                        <w:caps/>
                                        <w:color w:val="27AAE1" w:themeColor="accent2"/>
                                        <w:sz w:val="64"/>
                                        <w:szCs w:val="64"/>
                                      </w:rPr>
                                      <w:t xml:space="preserve"> Conservation Potential Assessment</w:t>
                                    </w:r>
                                  </w:sdtContent>
                                </w:sdt>
                              </w:p>
                              <w:sdt>
                                <w:sdtPr>
                                  <w:rPr>
                                    <w:rFonts w:cs="Calibri Light"/>
                                    <w:color w:val="002C7C"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0D94FFE" w14:textId="760EB12C" w:rsidR="0092368D" w:rsidRPr="00627DA0" w:rsidRDefault="002F2790">
                                    <w:pPr>
                                      <w:jc w:val="right"/>
                                      <w:rPr>
                                        <w:rFonts w:cs="Calibri Light"/>
                                        <w:color w:val="002C7C" w:themeColor="accent1"/>
                                        <w:sz w:val="36"/>
                                        <w:szCs w:val="36"/>
                                      </w:rPr>
                                    </w:pPr>
                                    <w:r w:rsidRPr="00627DA0">
                                      <w:rPr>
                                        <w:rFonts w:cs="Calibri Light"/>
                                        <w:color w:val="002C7C" w:themeColor="accent1"/>
                                        <w:sz w:val="36"/>
                                        <w:szCs w:val="36"/>
                                      </w:rPr>
                                      <w:t>Inland Power &amp; Light Co</w:t>
                                    </w:r>
                                    <w:r w:rsidR="0032364D" w:rsidRPr="00627DA0">
                                      <w:rPr>
                                        <w:rFonts w:cs="Calibri Light"/>
                                        <w:color w:val="002C7C" w:themeColor="accent1"/>
                                        <w:sz w:val="36"/>
                                        <w:szCs w:val="36"/>
                                      </w:rPr>
                                      <w:t>mpany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05ADA08" id="Text Box 154" o:spid="_x0000_s1028" type="#_x0000_t202" style="position:absolute;left:0;text-align:left;margin-left:0;margin-top:0;width:8in;height:220.25pt;z-index:251658240;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" filled="f" stroked="f" strokeweight=".5pt">
                    <v:textbox inset="126pt,0,54pt,0">
                      <w:txbxContent>
                        <w:p w14:paraId="5B810CEA" w14:textId="32250251" w:rsidR="0092368D" w:rsidRPr="00627DA0" w:rsidRDefault="00000000">
                          <w:pPr>
                            <w:jc w:val="right"/>
                            <w:rPr>
                              <w:color w:val="27AAE1" w:themeColor="accent2"/>
                              <w:sz w:val="64"/>
                              <w:szCs w:val="64"/>
                            </w:rPr>
                          </w:pPr>
                          <w:sdt>
                            <w:sdtPr>
                              <w:rPr>
                                <w:rFonts w:cs="Calibri Light"/>
                                <w:caps/>
                                <w:color w:val="27AAE1" w:themeColor="accent2"/>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368D" w:rsidRPr="00627DA0">
                                <w:rPr>
                                  <w:rFonts w:cs="Calibri Light"/>
                                  <w:caps/>
                                  <w:color w:val="27AAE1" w:themeColor="accent2"/>
                                  <w:sz w:val="64"/>
                                  <w:szCs w:val="64"/>
                                </w:rPr>
                                <w:t>202</w:t>
                              </w:r>
                              <w:r w:rsidR="00ED1CD2" w:rsidRPr="00627DA0">
                                <w:rPr>
                                  <w:rFonts w:cs="Calibri Light"/>
                                  <w:caps/>
                                  <w:color w:val="27AAE1" w:themeColor="accent2"/>
                                  <w:sz w:val="64"/>
                                  <w:szCs w:val="64"/>
                                </w:rPr>
                                <w:t>5</w:t>
                              </w:r>
                              <w:r w:rsidR="0092368D" w:rsidRPr="00627DA0">
                                <w:rPr>
                                  <w:rFonts w:cs="Calibri Light"/>
                                  <w:caps/>
                                  <w:color w:val="27AAE1" w:themeColor="accent2"/>
                                  <w:sz w:val="64"/>
                                  <w:szCs w:val="64"/>
                                </w:rPr>
                                <w:t xml:space="preserve"> Conservation Potential Assessment</w:t>
                              </w:r>
                            </w:sdtContent>
                          </w:sdt>
                        </w:p>
                        <w:sdt>
                          <w:sdtPr>
                            <w:rPr>
                              <w:rFonts w:cs="Calibri Light"/>
                              <w:color w:val="002C7C"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0D94FFE" w14:textId="760EB12C" w:rsidR="0092368D" w:rsidRPr="00627DA0" w:rsidRDefault="002F2790">
                              <w:pPr>
                                <w:jc w:val="right"/>
                                <w:rPr>
                                  <w:rFonts w:cs="Calibri Light"/>
                                  <w:color w:val="002C7C" w:themeColor="accent1"/>
                                  <w:sz w:val="36"/>
                                  <w:szCs w:val="36"/>
                                </w:rPr>
                              </w:pPr>
                              <w:r w:rsidRPr="00627DA0">
                                <w:rPr>
                                  <w:rFonts w:cs="Calibri Light"/>
                                  <w:color w:val="002C7C" w:themeColor="accent1"/>
                                  <w:sz w:val="36"/>
                                  <w:szCs w:val="36"/>
                                </w:rPr>
                                <w:t>Inland Power &amp; Light Co</w:t>
                              </w:r>
                              <w:r w:rsidR="0032364D" w:rsidRPr="00627DA0">
                                <w:rPr>
                                  <w:rFonts w:cs="Calibri Light"/>
                                  <w:color w:val="002C7C" w:themeColor="accent1"/>
                                  <w:sz w:val="36"/>
                                  <w:szCs w:val="36"/>
                                </w:rPr>
                                <w:t>mpany</w:t>
                              </w:r>
                            </w:p>
                          </w:sdtContent>
                        </w:sdt>
                      </w:txbxContent>
                    </v:textbox>
                    <w10:wrap type="square" anchorx="page" anchory="page"/>
                  </v:shape>
                </w:pict>
              </mc:Fallback>
            </mc:AlternateContent>
          </w:r>
          <w:r w:rsidR="00496AC0" w:rsidRPr="00627DA0">
            <w:t>c</w:t>
          </w:r>
          <w:r w:rsidR="007A3D31" w:rsidRPr="00627DA0">
            <w:br w:type="page"/>
          </w:r>
        </w:p>
      </w:sdtContent>
    </w:sdt>
    <w:p w14:paraId="6C4E8267" w14:textId="2412C641" w:rsidR="00B32864" w:rsidRPr="00627DA0" w:rsidRDefault="009F3CDE" w:rsidP="005C393A">
      <w:pPr>
        <w:pStyle w:val="Heading1"/>
      </w:pPr>
      <w:bookmarkStart w:id="0" w:name="_Toc61243765"/>
      <w:bookmarkStart w:id="1" w:name="_Toc207870646"/>
      <w:r w:rsidRPr="00627DA0">
        <w:lastRenderedPageBreak/>
        <w:t>Table of Con</w:t>
      </w:r>
      <w:r w:rsidR="002C35C2" w:rsidRPr="00627DA0">
        <w:t>t</w:t>
      </w:r>
      <w:r w:rsidRPr="00627DA0">
        <w:t>ents</w:t>
      </w:r>
      <w:bookmarkEnd w:id="0"/>
      <w:bookmarkEnd w:id="1"/>
    </w:p>
    <w:sdt>
      <w:sdtPr>
        <w:id w:val="-1455169887"/>
        <w:docPartObj>
          <w:docPartGallery w:val="Table of Contents"/>
          <w:docPartUnique/>
        </w:docPartObj>
      </w:sdtPr>
      <w:sdtEndPr>
        <w:rPr>
          <w:b/>
          <w:bCs/>
        </w:rPr>
      </w:sdtEndPr>
      <w:sdtContent>
        <w:p w14:paraId="33D77BBA" w14:textId="7F8EBA2F" w:rsidR="00AA2C5B" w:rsidRPr="00627DA0" w:rsidRDefault="00827C02">
          <w:pPr>
            <w:pStyle w:val="TOC1"/>
            <w:tabs>
              <w:tab w:val="right" w:leader="dot" w:pos="9350"/>
            </w:tabs>
            <w:rPr>
              <w:rFonts w:asciiTheme="minorHAnsi" w:eastAsiaTheme="minorEastAsia" w:hAnsiTheme="minorHAnsi"/>
              <w:kern w:val="2"/>
              <w:sz w:val="24"/>
              <w:szCs w:val="24"/>
              <w14:ligatures w14:val="standardContextual"/>
            </w:rPr>
          </w:pPr>
          <w:r w:rsidRPr="00627DA0">
            <w:fldChar w:fldCharType="begin"/>
          </w:r>
          <w:r w:rsidRPr="00627DA0">
            <w:instrText xml:space="preserve"> TOC \o "1-2" \h \z \u </w:instrText>
          </w:r>
          <w:r w:rsidRPr="00627DA0">
            <w:fldChar w:fldCharType="separate"/>
          </w:r>
          <w:hyperlink w:anchor="_Toc207870646" w:history="1">
            <w:r w:rsidR="00AA2C5B" w:rsidRPr="00627DA0">
              <w:rPr>
                <w:rStyle w:val="Hyperlink"/>
              </w:rPr>
              <w:t>Table of Contents</w:t>
            </w:r>
            <w:r w:rsidR="00AA2C5B" w:rsidRPr="00627DA0">
              <w:rPr>
                <w:webHidden/>
              </w:rPr>
              <w:tab/>
            </w:r>
            <w:r w:rsidR="00AA2C5B" w:rsidRPr="00627DA0">
              <w:rPr>
                <w:webHidden/>
              </w:rPr>
              <w:fldChar w:fldCharType="begin"/>
            </w:r>
            <w:r w:rsidR="00AA2C5B" w:rsidRPr="00627DA0">
              <w:rPr>
                <w:webHidden/>
              </w:rPr>
              <w:instrText xml:space="preserve"> PAGEREF _Toc207870646 \h </w:instrText>
            </w:r>
            <w:r w:rsidR="00AA2C5B" w:rsidRPr="00627DA0">
              <w:rPr>
                <w:webHidden/>
              </w:rPr>
            </w:r>
            <w:r w:rsidR="00AA2C5B" w:rsidRPr="00627DA0">
              <w:rPr>
                <w:webHidden/>
              </w:rPr>
              <w:fldChar w:fldCharType="separate"/>
            </w:r>
            <w:r w:rsidR="00AA2C5B" w:rsidRPr="00627DA0">
              <w:rPr>
                <w:webHidden/>
              </w:rPr>
              <w:t>i</w:t>
            </w:r>
            <w:r w:rsidR="00AA2C5B" w:rsidRPr="00627DA0">
              <w:rPr>
                <w:webHidden/>
              </w:rPr>
              <w:fldChar w:fldCharType="end"/>
            </w:r>
          </w:hyperlink>
        </w:p>
        <w:p w14:paraId="6CB26DE9" w14:textId="3532F7AF"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47" w:history="1">
            <w:r w:rsidRPr="00627DA0">
              <w:rPr>
                <w:rStyle w:val="Hyperlink"/>
              </w:rPr>
              <w:t>List of Figures</w:t>
            </w:r>
            <w:r w:rsidRPr="00627DA0">
              <w:rPr>
                <w:webHidden/>
              </w:rPr>
              <w:tab/>
            </w:r>
            <w:r w:rsidRPr="00627DA0">
              <w:rPr>
                <w:webHidden/>
              </w:rPr>
              <w:fldChar w:fldCharType="begin"/>
            </w:r>
            <w:r w:rsidRPr="00627DA0">
              <w:rPr>
                <w:webHidden/>
              </w:rPr>
              <w:instrText xml:space="preserve"> PAGEREF _Toc207870647 \h </w:instrText>
            </w:r>
            <w:r w:rsidRPr="00627DA0">
              <w:rPr>
                <w:webHidden/>
              </w:rPr>
            </w:r>
            <w:r w:rsidRPr="00627DA0">
              <w:rPr>
                <w:webHidden/>
              </w:rPr>
              <w:fldChar w:fldCharType="separate"/>
            </w:r>
            <w:r w:rsidRPr="00627DA0">
              <w:rPr>
                <w:webHidden/>
              </w:rPr>
              <w:t>iii</w:t>
            </w:r>
            <w:r w:rsidRPr="00627DA0">
              <w:rPr>
                <w:webHidden/>
              </w:rPr>
              <w:fldChar w:fldCharType="end"/>
            </w:r>
          </w:hyperlink>
        </w:p>
        <w:p w14:paraId="142F6E4F" w14:textId="7320AE72"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48" w:history="1">
            <w:r w:rsidRPr="00627DA0">
              <w:rPr>
                <w:rStyle w:val="Hyperlink"/>
              </w:rPr>
              <w:t>List of Tables</w:t>
            </w:r>
            <w:r w:rsidRPr="00627DA0">
              <w:rPr>
                <w:webHidden/>
              </w:rPr>
              <w:tab/>
            </w:r>
            <w:r w:rsidRPr="00627DA0">
              <w:rPr>
                <w:webHidden/>
              </w:rPr>
              <w:fldChar w:fldCharType="begin"/>
            </w:r>
            <w:r w:rsidRPr="00627DA0">
              <w:rPr>
                <w:webHidden/>
              </w:rPr>
              <w:instrText xml:space="preserve"> PAGEREF _Toc207870648 \h </w:instrText>
            </w:r>
            <w:r w:rsidRPr="00627DA0">
              <w:rPr>
                <w:webHidden/>
              </w:rPr>
            </w:r>
            <w:r w:rsidRPr="00627DA0">
              <w:rPr>
                <w:webHidden/>
              </w:rPr>
              <w:fldChar w:fldCharType="separate"/>
            </w:r>
            <w:r w:rsidRPr="00627DA0">
              <w:rPr>
                <w:webHidden/>
              </w:rPr>
              <w:t>iv</w:t>
            </w:r>
            <w:r w:rsidRPr="00627DA0">
              <w:rPr>
                <w:webHidden/>
              </w:rPr>
              <w:fldChar w:fldCharType="end"/>
            </w:r>
          </w:hyperlink>
        </w:p>
        <w:p w14:paraId="7AA782B8" w14:textId="40A29CED"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49" w:history="1">
            <w:r w:rsidRPr="00627DA0">
              <w:rPr>
                <w:rStyle w:val="Hyperlink"/>
                <w:rFonts w:cs="Calibri"/>
              </w:rPr>
              <w:t>Executive Summary</w:t>
            </w:r>
            <w:r w:rsidRPr="00627DA0">
              <w:rPr>
                <w:webHidden/>
              </w:rPr>
              <w:tab/>
            </w:r>
            <w:r w:rsidRPr="00627DA0">
              <w:rPr>
                <w:webHidden/>
              </w:rPr>
              <w:fldChar w:fldCharType="begin"/>
            </w:r>
            <w:r w:rsidRPr="00627DA0">
              <w:rPr>
                <w:webHidden/>
              </w:rPr>
              <w:instrText xml:space="preserve"> PAGEREF _Toc207870649 \h </w:instrText>
            </w:r>
            <w:r w:rsidRPr="00627DA0">
              <w:rPr>
                <w:webHidden/>
              </w:rPr>
            </w:r>
            <w:r w:rsidRPr="00627DA0">
              <w:rPr>
                <w:webHidden/>
              </w:rPr>
              <w:fldChar w:fldCharType="separate"/>
            </w:r>
            <w:r w:rsidRPr="00627DA0">
              <w:rPr>
                <w:webHidden/>
              </w:rPr>
              <w:t>1</w:t>
            </w:r>
            <w:r w:rsidRPr="00627DA0">
              <w:rPr>
                <w:webHidden/>
              </w:rPr>
              <w:fldChar w:fldCharType="end"/>
            </w:r>
          </w:hyperlink>
        </w:p>
        <w:p w14:paraId="074ECBA0" w14:textId="58E4FF51"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0" w:history="1">
            <w:r w:rsidRPr="00627DA0">
              <w:rPr>
                <w:rStyle w:val="Hyperlink"/>
                <w:rFonts w:cs="Calibri Light"/>
              </w:rPr>
              <w:t>Overview</w:t>
            </w:r>
            <w:r w:rsidRPr="00627DA0">
              <w:rPr>
                <w:webHidden/>
              </w:rPr>
              <w:tab/>
            </w:r>
            <w:r w:rsidRPr="00627DA0">
              <w:rPr>
                <w:webHidden/>
              </w:rPr>
              <w:fldChar w:fldCharType="begin"/>
            </w:r>
            <w:r w:rsidRPr="00627DA0">
              <w:rPr>
                <w:webHidden/>
              </w:rPr>
              <w:instrText xml:space="preserve"> PAGEREF _Toc207870650 \h </w:instrText>
            </w:r>
            <w:r w:rsidRPr="00627DA0">
              <w:rPr>
                <w:webHidden/>
              </w:rPr>
            </w:r>
            <w:r w:rsidRPr="00627DA0">
              <w:rPr>
                <w:webHidden/>
              </w:rPr>
              <w:fldChar w:fldCharType="separate"/>
            </w:r>
            <w:r w:rsidRPr="00627DA0">
              <w:rPr>
                <w:webHidden/>
              </w:rPr>
              <w:t>1</w:t>
            </w:r>
            <w:r w:rsidRPr="00627DA0">
              <w:rPr>
                <w:webHidden/>
              </w:rPr>
              <w:fldChar w:fldCharType="end"/>
            </w:r>
          </w:hyperlink>
        </w:p>
        <w:p w14:paraId="74E6797C" w14:textId="4899A1EA"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1" w:history="1">
            <w:r w:rsidRPr="00627DA0">
              <w:rPr>
                <w:rStyle w:val="Hyperlink"/>
              </w:rPr>
              <w:t>Results</w:t>
            </w:r>
            <w:r w:rsidRPr="00627DA0">
              <w:rPr>
                <w:webHidden/>
              </w:rPr>
              <w:tab/>
            </w:r>
            <w:r w:rsidRPr="00627DA0">
              <w:rPr>
                <w:webHidden/>
              </w:rPr>
              <w:fldChar w:fldCharType="begin"/>
            </w:r>
            <w:r w:rsidRPr="00627DA0">
              <w:rPr>
                <w:webHidden/>
              </w:rPr>
              <w:instrText xml:space="preserve"> PAGEREF _Toc207870651 \h </w:instrText>
            </w:r>
            <w:r w:rsidRPr="00627DA0">
              <w:rPr>
                <w:webHidden/>
              </w:rPr>
            </w:r>
            <w:r w:rsidRPr="00627DA0">
              <w:rPr>
                <w:webHidden/>
              </w:rPr>
              <w:fldChar w:fldCharType="separate"/>
            </w:r>
            <w:r w:rsidRPr="00627DA0">
              <w:rPr>
                <w:webHidden/>
              </w:rPr>
              <w:t>2</w:t>
            </w:r>
            <w:r w:rsidRPr="00627DA0">
              <w:rPr>
                <w:webHidden/>
              </w:rPr>
              <w:fldChar w:fldCharType="end"/>
            </w:r>
          </w:hyperlink>
        </w:p>
        <w:p w14:paraId="48CF8B5F" w14:textId="23F31FD3"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2" w:history="1">
            <w:r w:rsidRPr="00627DA0">
              <w:rPr>
                <w:rStyle w:val="Hyperlink"/>
              </w:rPr>
              <w:t>Comparison to Previous Assessment</w:t>
            </w:r>
            <w:r w:rsidRPr="00627DA0">
              <w:rPr>
                <w:webHidden/>
              </w:rPr>
              <w:tab/>
            </w:r>
            <w:r w:rsidRPr="00627DA0">
              <w:rPr>
                <w:webHidden/>
              </w:rPr>
              <w:fldChar w:fldCharType="begin"/>
            </w:r>
            <w:r w:rsidRPr="00627DA0">
              <w:rPr>
                <w:webHidden/>
              </w:rPr>
              <w:instrText xml:space="preserve"> PAGEREF _Toc207870652 \h </w:instrText>
            </w:r>
            <w:r w:rsidRPr="00627DA0">
              <w:rPr>
                <w:webHidden/>
              </w:rPr>
            </w:r>
            <w:r w:rsidRPr="00627DA0">
              <w:rPr>
                <w:webHidden/>
              </w:rPr>
              <w:fldChar w:fldCharType="separate"/>
            </w:r>
            <w:r w:rsidRPr="00627DA0">
              <w:rPr>
                <w:webHidden/>
              </w:rPr>
              <w:t>5</w:t>
            </w:r>
            <w:r w:rsidRPr="00627DA0">
              <w:rPr>
                <w:webHidden/>
              </w:rPr>
              <w:fldChar w:fldCharType="end"/>
            </w:r>
          </w:hyperlink>
        </w:p>
        <w:p w14:paraId="5D22A921" w14:textId="6A84DD79"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3" w:history="1">
            <w:r w:rsidRPr="00627DA0">
              <w:rPr>
                <w:rStyle w:val="Hyperlink"/>
              </w:rPr>
              <w:t>Conclusion</w:t>
            </w:r>
            <w:r w:rsidRPr="00627DA0">
              <w:rPr>
                <w:webHidden/>
              </w:rPr>
              <w:tab/>
            </w:r>
            <w:r w:rsidRPr="00627DA0">
              <w:rPr>
                <w:webHidden/>
              </w:rPr>
              <w:fldChar w:fldCharType="begin"/>
            </w:r>
            <w:r w:rsidRPr="00627DA0">
              <w:rPr>
                <w:webHidden/>
              </w:rPr>
              <w:instrText xml:space="preserve"> PAGEREF _Toc207870653 \h </w:instrText>
            </w:r>
            <w:r w:rsidRPr="00627DA0">
              <w:rPr>
                <w:webHidden/>
              </w:rPr>
            </w:r>
            <w:r w:rsidRPr="00627DA0">
              <w:rPr>
                <w:webHidden/>
              </w:rPr>
              <w:fldChar w:fldCharType="separate"/>
            </w:r>
            <w:r w:rsidRPr="00627DA0">
              <w:rPr>
                <w:webHidden/>
              </w:rPr>
              <w:t>6</w:t>
            </w:r>
            <w:r w:rsidRPr="00627DA0">
              <w:rPr>
                <w:webHidden/>
              </w:rPr>
              <w:fldChar w:fldCharType="end"/>
            </w:r>
          </w:hyperlink>
        </w:p>
        <w:p w14:paraId="15BF4D3A" w14:textId="2DAFDAAF"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54" w:history="1">
            <w:r w:rsidRPr="00627DA0">
              <w:rPr>
                <w:rStyle w:val="Hyperlink"/>
              </w:rPr>
              <w:t>Introduction</w:t>
            </w:r>
            <w:r w:rsidRPr="00627DA0">
              <w:rPr>
                <w:webHidden/>
              </w:rPr>
              <w:tab/>
            </w:r>
            <w:r w:rsidRPr="00627DA0">
              <w:rPr>
                <w:webHidden/>
              </w:rPr>
              <w:fldChar w:fldCharType="begin"/>
            </w:r>
            <w:r w:rsidRPr="00627DA0">
              <w:rPr>
                <w:webHidden/>
              </w:rPr>
              <w:instrText xml:space="preserve"> PAGEREF _Toc207870654 \h </w:instrText>
            </w:r>
            <w:r w:rsidRPr="00627DA0">
              <w:rPr>
                <w:webHidden/>
              </w:rPr>
            </w:r>
            <w:r w:rsidRPr="00627DA0">
              <w:rPr>
                <w:webHidden/>
              </w:rPr>
              <w:fldChar w:fldCharType="separate"/>
            </w:r>
            <w:r w:rsidRPr="00627DA0">
              <w:rPr>
                <w:webHidden/>
              </w:rPr>
              <w:t>7</w:t>
            </w:r>
            <w:r w:rsidRPr="00627DA0">
              <w:rPr>
                <w:webHidden/>
              </w:rPr>
              <w:fldChar w:fldCharType="end"/>
            </w:r>
          </w:hyperlink>
        </w:p>
        <w:p w14:paraId="670275AC" w14:textId="1D197136"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5" w:history="1">
            <w:r w:rsidRPr="00627DA0">
              <w:rPr>
                <w:rStyle w:val="Hyperlink"/>
              </w:rPr>
              <w:t>Objectives</w:t>
            </w:r>
            <w:r w:rsidRPr="00627DA0">
              <w:rPr>
                <w:webHidden/>
              </w:rPr>
              <w:tab/>
            </w:r>
            <w:r w:rsidRPr="00627DA0">
              <w:rPr>
                <w:webHidden/>
              </w:rPr>
              <w:fldChar w:fldCharType="begin"/>
            </w:r>
            <w:r w:rsidRPr="00627DA0">
              <w:rPr>
                <w:webHidden/>
              </w:rPr>
              <w:instrText xml:space="preserve"> PAGEREF _Toc207870655 \h </w:instrText>
            </w:r>
            <w:r w:rsidRPr="00627DA0">
              <w:rPr>
                <w:webHidden/>
              </w:rPr>
            </w:r>
            <w:r w:rsidRPr="00627DA0">
              <w:rPr>
                <w:webHidden/>
              </w:rPr>
              <w:fldChar w:fldCharType="separate"/>
            </w:r>
            <w:r w:rsidRPr="00627DA0">
              <w:rPr>
                <w:webHidden/>
              </w:rPr>
              <w:t>7</w:t>
            </w:r>
            <w:r w:rsidRPr="00627DA0">
              <w:rPr>
                <w:webHidden/>
              </w:rPr>
              <w:fldChar w:fldCharType="end"/>
            </w:r>
          </w:hyperlink>
        </w:p>
        <w:p w14:paraId="64692BE3" w14:textId="780743CF"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6" w:history="1">
            <w:r w:rsidRPr="00627DA0">
              <w:rPr>
                <w:rStyle w:val="Hyperlink"/>
              </w:rPr>
              <w:t>Background</w:t>
            </w:r>
            <w:r w:rsidRPr="00627DA0">
              <w:rPr>
                <w:webHidden/>
              </w:rPr>
              <w:tab/>
            </w:r>
            <w:r w:rsidRPr="00627DA0">
              <w:rPr>
                <w:webHidden/>
              </w:rPr>
              <w:fldChar w:fldCharType="begin"/>
            </w:r>
            <w:r w:rsidRPr="00627DA0">
              <w:rPr>
                <w:webHidden/>
              </w:rPr>
              <w:instrText xml:space="preserve"> PAGEREF _Toc207870656 \h </w:instrText>
            </w:r>
            <w:r w:rsidRPr="00627DA0">
              <w:rPr>
                <w:webHidden/>
              </w:rPr>
            </w:r>
            <w:r w:rsidRPr="00627DA0">
              <w:rPr>
                <w:webHidden/>
              </w:rPr>
              <w:fldChar w:fldCharType="separate"/>
            </w:r>
            <w:r w:rsidRPr="00627DA0">
              <w:rPr>
                <w:webHidden/>
              </w:rPr>
              <w:t>7</w:t>
            </w:r>
            <w:r w:rsidRPr="00627DA0">
              <w:rPr>
                <w:webHidden/>
              </w:rPr>
              <w:fldChar w:fldCharType="end"/>
            </w:r>
          </w:hyperlink>
        </w:p>
        <w:p w14:paraId="31C58C97" w14:textId="1AFFA1C9"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7" w:history="1">
            <w:r w:rsidRPr="00627DA0">
              <w:rPr>
                <w:rStyle w:val="Hyperlink"/>
              </w:rPr>
              <w:t>Study Uncertainties</w:t>
            </w:r>
            <w:r w:rsidRPr="00627DA0">
              <w:rPr>
                <w:webHidden/>
              </w:rPr>
              <w:tab/>
            </w:r>
            <w:r w:rsidRPr="00627DA0">
              <w:rPr>
                <w:webHidden/>
              </w:rPr>
              <w:fldChar w:fldCharType="begin"/>
            </w:r>
            <w:r w:rsidRPr="00627DA0">
              <w:rPr>
                <w:webHidden/>
              </w:rPr>
              <w:instrText xml:space="preserve"> PAGEREF _Toc207870657 \h </w:instrText>
            </w:r>
            <w:r w:rsidRPr="00627DA0">
              <w:rPr>
                <w:webHidden/>
              </w:rPr>
            </w:r>
            <w:r w:rsidRPr="00627DA0">
              <w:rPr>
                <w:webHidden/>
              </w:rPr>
              <w:fldChar w:fldCharType="separate"/>
            </w:r>
            <w:r w:rsidRPr="00627DA0">
              <w:rPr>
                <w:webHidden/>
              </w:rPr>
              <w:t>7</w:t>
            </w:r>
            <w:r w:rsidRPr="00627DA0">
              <w:rPr>
                <w:webHidden/>
              </w:rPr>
              <w:fldChar w:fldCharType="end"/>
            </w:r>
          </w:hyperlink>
        </w:p>
        <w:p w14:paraId="02AF50A1" w14:textId="648B7D58"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58" w:history="1">
            <w:r w:rsidRPr="00627DA0">
              <w:rPr>
                <w:rStyle w:val="Hyperlink"/>
              </w:rPr>
              <w:t>Report Organization</w:t>
            </w:r>
            <w:r w:rsidRPr="00627DA0">
              <w:rPr>
                <w:webHidden/>
              </w:rPr>
              <w:tab/>
            </w:r>
            <w:r w:rsidRPr="00627DA0">
              <w:rPr>
                <w:webHidden/>
              </w:rPr>
              <w:fldChar w:fldCharType="begin"/>
            </w:r>
            <w:r w:rsidRPr="00627DA0">
              <w:rPr>
                <w:webHidden/>
              </w:rPr>
              <w:instrText xml:space="preserve"> PAGEREF _Toc207870658 \h </w:instrText>
            </w:r>
            <w:r w:rsidRPr="00627DA0">
              <w:rPr>
                <w:webHidden/>
              </w:rPr>
            </w:r>
            <w:r w:rsidRPr="00627DA0">
              <w:rPr>
                <w:webHidden/>
              </w:rPr>
              <w:fldChar w:fldCharType="separate"/>
            </w:r>
            <w:r w:rsidRPr="00627DA0">
              <w:rPr>
                <w:webHidden/>
              </w:rPr>
              <w:t>8</w:t>
            </w:r>
            <w:r w:rsidRPr="00627DA0">
              <w:rPr>
                <w:webHidden/>
              </w:rPr>
              <w:fldChar w:fldCharType="end"/>
            </w:r>
          </w:hyperlink>
        </w:p>
        <w:p w14:paraId="1AB4E6D0" w14:textId="0403FB80"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59" w:history="1">
            <w:r w:rsidRPr="00627DA0">
              <w:rPr>
                <w:rStyle w:val="Hyperlink"/>
              </w:rPr>
              <w:t>Methodology</w:t>
            </w:r>
            <w:r w:rsidRPr="00627DA0">
              <w:rPr>
                <w:webHidden/>
              </w:rPr>
              <w:tab/>
            </w:r>
            <w:r w:rsidRPr="00627DA0">
              <w:rPr>
                <w:webHidden/>
              </w:rPr>
              <w:fldChar w:fldCharType="begin"/>
            </w:r>
            <w:r w:rsidRPr="00627DA0">
              <w:rPr>
                <w:webHidden/>
              </w:rPr>
              <w:instrText xml:space="preserve"> PAGEREF _Toc207870659 \h </w:instrText>
            </w:r>
            <w:r w:rsidRPr="00627DA0">
              <w:rPr>
                <w:webHidden/>
              </w:rPr>
            </w:r>
            <w:r w:rsidRPr="00627DA0">
              <w:rPr>
                <w:webHidden/>
              </w:rPr>
              <w:fldChar w:fldCharType="separate"/>
            </w:r>
            <w:r w:rsidRPr="00627DA0">
              <w:rPr>
                <w:webHidden/>
              </w:rPr>
              <w:t>9</w:t>
            </w:r>
            <w:r w:rsidRPr="00627DA0">
              <w:rPr>
                <w:webHidden/>
              </w:rPr>
              <w:fldChar w:fldCharType="end"/>
            </w:r>
          </w:hyperlink>
        </w:p>
        <w:p w14:paraId="2907877E" w14:textId="0D48BC3F"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0" w:history="1">
            <w:r w:rsidRPr="00627DA0">
              <w:rPr>
                <w:rStyle w:val="Hyperlink"/>
              </w:rPr>
              <w:t>High-level Methodology</w:t>
            </w:r>
            <w:r w:rsidRPr="00627DA0">
              <w:rPr>
                <w:webHidden/>
              </w:rPr>
              <w:tab/>
            </w:r>
            <w:r w:rsidRPr="00627DA0">
              <w:rPr>
                <w:webHidden/>
              </w:rPr>
              <w:fldChar w:fldCharType="begin"/>
            </w:r>
            <w:r w:rsidRPr="00627DA0">
              <w:rPr>
                <w:webHidden/>
              </w:rPr>
              <w:instrText xml:space="preserve"> PAGEREF _Toc207870660 \h </w:instrText>
            </w:r>
            <w:r w:rsidRPr="00627DA0">
              <w:rPr>
                <w:webHidden/>
              </w:rPr>
            </w:r>
            <w:r w:rsidRPr="00627DA0">
              <w:rPr>
                <w:webHidden/>
              </w:rPr>
              <w:fldChar w:fldCharType="separate"/>
            </w:r>
            <w:r w:rsidRPr="00627DA0">
              <w:rPr>
                <w:webHidden/>
              </w:rPr>
              <w:t>9</w:t>
            </w:r>
            <w:r w:rsidRPr="00627DA0">
              <w:rPr>
                <w:webHidden/>
              </w:rPr>
              <w:fldChar w:fldCharType="end"/>
            </w:r>
          </w:hyperlink>
        </w:p>
        <w:p w14:paraId="20E5B3A8" w14:textId="20FDCA9B"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1" w:history="1">
            <w:r w:rsidRPr="00627DA0">
              <w:rPr>
                <w:rStyle w:val="Hyperlink"/>
              </w:rPr>
              <w:t>Economic Inputs</w:t>
            </w:r>
            <w:r w:rsidRPr="00627DA0">
              <w:rPr>
                <w:webHidden/>
              </w:rPr>
              <w:tab/>
            </w:r>
            <w:r w:rsidRPr="00627DA0">
              <w:rPr>
                <w:webHidden/>
              </w:rPr>
              <w:fldChar w:fldCharType="begin"/>
            </w:r>
            <w:r w:rsidRPr="00627DA0">
              <w:rPr>
                <w:webHidden/>
              </w:rPr>
              <w:instrText xml:space="preserve"> PAGEREF _Toc207870661 \h </w:instrText>
            </w:r>
            <w:r w:rsidRPr="00627DA0">
              <w:rPr>
                <w:webHidden/>
              </w:rPr>
            </w:r>
            <w:r w:rsidRPr="00627DA0">
              <w:rPr>
                <w:webHidden/>
              </w:rPr>
              <w:fldChar w:fldCharType="separate"/>
            </w:r>
            <w:r w:rsidRPr="00627DA0">
              <w:rPr>
                <w:webHidden/>
              </w:rPr>
              <w:t>9</w:t>
            </w:r>
            <w:r w:rsidRPr="00627DA0">
              <w:rPr>
                <w:webHidden/>
              </w:rPr>
              <w:fldChar w:fldCharType="end"/>
            </w:r>
          </w:hyperlink>
        </w:p>
        <w:p w14:paraId="272A076E" w14:textId="497DB02A"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2" w:history="1">
            <w:r w:rsidRPr="00627DA0">
              <w:rPr>
                <w:rStyle w:val="Hyperlink"/>
              </w:rPr>
              <w:t>Other Financial Assumptions</w:t>
            </w:r>
            <w:r w:rsidRPr="00627DA0">
              <w:rPr>
                <w:webHidden/>
              </w:rPr>
              <w:tab/>
            </w:r>
            <w:r w:rsidRPr="00627DA0">
              <w:rPr>
                <w:webHidden/>
              </w:rPr>
              <w:fldChar w:fldCharType="begin"/>
            </w:r>
            <w:r w:rsidRPr="00627DA0">
              <w:rPr>
                <w:webHidden/>
              </w:rPr>
              <w:instrText xml:space="preserve"> PAGEREF _Toc207870662 \h </w:instrText>
            </w:r>
            <w:r w:rsidRPr="00627DA0">
              <w:rPr>
                <w:webHidden/>
              </w:rPr>
            </w:r>
            <w:r w:rsidRPr="00627DA0">
              <w:rPr>
                <w:webHidden/>
              </w:rPr>
              <w:fldChar w:fldCharType="separate"/>
            </w:r>
            <w:r w:rsidRPr="00627DA0">
              <w:rPr>
                <w:webHidden/>
              </w:rPr>
              <w:t>11</w:t>
            </w:r>
            <w:r w:rsidRPr="00627DA0">
              <w:rPr>
                <w:webHidden/>
              </w:rPr>
              <w:fldChar w:fldCharType="end"/>
            </w:r>
          </w:hyperlink>
        </w:p>
        <w:p w14:paraId="126BC0CF" w14:textId="15CC2126"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3" w:history="1">
            <w:r w:rsidRPr="00627DA0">
              <w:rPr>
                <w:rStyle w:val="Hyperlink"/>
              </w:rPr>
              <w:t>Measure Characterization</w:t>
            </w:r>
            <w:r w:rsidRPr="00627DA0">
              <w:rPr>
                <w:webHidden/>
              </w:rPr>
              <w:tab/>
            </w:r>
            <w:r w:rsidRPr="00627DA0">
              <w:rPr>
                <w:webHidden/>
              </w:rPr>
              <w:fldChar w:fldCharType="begin"/>
            </w:r>
            <w:r w:rsidRPr="00627DA0">
              <w:rPr>
                <w:webHidden/>
              </w:rPr>
              <w:instrText xml:space="preserve"> PAGEREF _Toc207870663 \h </w:instrText>
            </w:r>
            <w:r w:rsidRPr="00627DA0">
              <w:rPr>
                <w:webHidden/>
              </w:rPr>
            </w:r>
            <w:r w:rsidRPr="00627DA0">
              <w:rPr>
                <w:webHidden/>
              </w:rPr>
              <w:fldChar w:fldCharType="separate"/>
            </w:r>
            <w:r w:rsidRPr="00627DA0">
              <w:rPr>
                <w:webHidden/>
              </w:rPr>
              <w:t>12</w:t>
            </w:r>
            <w:r w:rsidRPr="00627DA0">
              <w:rPr>
                <w:webHidden/>
              </w:rPr>
              <w:fldChar w:fldCharType="end"/>
            </w:r>
          </w:hyperlink>
        </w:p>
        <w:p w14:paraId="4AD0815E" w14:textId="1B19C4D5"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4" w:history="1">
            <w:r w:rsidRPr="00627DA0">
              <w:rPr>
                <w:rStyle w:val="Hyperlink"/>
              </w:rPr>
              <w:t>Customer Characteristics</w:t>
            </w:r>
            <w:r w:rsidRPr="00627DA0">
              <w:rPr>
                <w:webHidden/>
              </w:rPr>
              <w:tab/>
            </w:r>
            <w:r w:rsidRPr="00627DA0">
              <w:rPr>
                <w:webHidden/>
              </w:rPr>
              <w:fldChar w:fldCharType="begin"/>
            </w:r>
            <w:r w:rsidRPr="00627DA0">
              <w:rPr>
                <w:webHidden/>
              </w:rPr>
              <w:instrText xml:space="preserve"> PAGEREF _Toc207870664 \h </w:instrText>
            </w:r>
            <w:r w:rsidRPr="00627DA0">
              <w:rPr>
                <w:webHidden/>
              </w:rPr>
            </w:r>
            <w:r w:rsidRPr="00627DA0">
              <w:rPr>
                <w:webHidden/>
              </w:rPr>
              <w:fldChar w:fldCharType="separate"/>
            </w:r>
            <w:r w:rsidRPr="00627DA0">
              <w:rPr>
                <w:webHidden/>
              </w:rPr>
              <w:t>12</w:t>
            </w:r>
            <w:r w:rsidRPr="00627DA0">
              <w:rPr>
                <w:webHidden/>
              </w:rPr>
              <w:fldChar w:fldCharType="end"/>
            </w:r>
          </w:hyperlink>
        </w:p>
        <w:p w14:paraId="3BFFC785" w14:textId="255B0F7D"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5" w:history="1">
            <w:r w:rsidRPr="00627DA0">
              <w:rPr>
                <w:rStyle w:val="Hyperlink"/>
              </w:rPr>
              <w:t>Energy Efficiency Potential</w:t>
            </w:r>
            <w:r w:rsidRPr="00627DA0">
              <w:rPr>
                <w:webHidden/>
              </w:rPr>
              <w:tab/>
            </w:r>
            <w:r w:rsidRPr="00627DA0">
              <w:rPr>
                <w:webHidden/>
              </w:rPr>
              <w:fldChar w:fldCharType="begin"/>
            </w:r>
            <w:r w:rsidRPr="00627DA0">
              <w:rPr>
                <w:webHidden/>
              </w:rPr>
              <w:instrText xml:space="preserve"> PAGEREF _Toc207870665 \h </w:instrText>
            </w:r>
            <w:r w:rsidRPr="00627DA0">
              <w:rPr>
                <w:webHidden/>
              </w:rPr>
            </w:r>
            <w:r w:rsidRPr="00627DA0">
              <w:rPr>
                <w:webHidden/>
              </w:rPr>
              <w:fldChar w:fldCharType="separate"/>
            </w:r>
            <w:r w:rsidRPr="00627DA0">
              <w:rPr>
                <w:webHidden/>
              </w:rPr>
              <w:t>12</w:t>
            </w:r>
            <w:r w:rsidRPr="00627DA0">
              <w:rPr>
                <w:webHidden/>
              </w:rPr>
              <w:fldChar w:fldCharType="end"/>
            </w:r>
          </w:hyperlink>
        </w:p>
        <w:p w14:paraId="5E960105" w14:textId="611D8083"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66" w:history="1">
            <w:r w:rsidRPr="00627DA0">
              <w:rPr>
                <w:rStyle w:val="Hyperlink"/>
              </w:rPr>
              <w:t>Customer Characteristics</w:t>
            </w:r>
            <w:r w:rsidRPr="00627DA0">
              <w:rPr>
                <w:webHidden/>
              </w:rPr>
              <w:tab/>
            </w:r>
            <w:r w:rsidRPr="00627DA0">
              <w:rPr>
                <w:webHidden/>
              </w:rPr>
              <w:fldChar w:fldCharType="begin"/>
            </w:r>
            <w:r w:rsidRPr="00627DA0">
              <w:rPr>
                <w:webHidden/>
              </w:rPr>
              <w:instrText xml:space="preserve"> PAGEREF _Toc207870666 \h </w:instrText>
            </w:r>
            <w:r w:rsidRPr="00627DA0">
              <w:rPr>
                <w:webHidden/>
              </w:rPr>
            </w:r>
            <w:r w:rsidRPr="00627DA0">
              <w:rPr>
                <w:webHidden/>
              </w:rPr>
              <w:fldChar w:fldCharType="separate"/>
            </w:r>
            <w:r w:rsidRPr="00627DA0">
              <w:rPr>
                <w:webHidden/>
              </w:rPr>
              <w:t>14</w:t>
            </w:r>
            <w:r w:rsidRPr="00627DA0">
              <w:rPr>
                <w:webHidden/>
              </w:rPr>
              <w:fldChar w:fldCharType="end"/>
            </w:r>
          </w:hyperlink>
        </w:p>
        <w:p w14:paraId="3BB21680" w14:textId="52D21A3B"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7" w:history="1">
            <w:r w:rsidRPr="00627DA0">
              <w:rPr>
                <w:rStyle w:val="Hyperlink"/>
              </w:rPr>
              <w:t>Residential</w:t>
            </w:r>
            <w:r w:rsidRPr="00627DA0">
              <w:rPr>
                <w:webHidden/>
              </w:rPr>
              <w:tab/>
            </w:r>
            <w:r w:rsidRPr="00627DA0">
              <w:rPr>
                <w:webHidden/>
              </w:rPr>
              <w:fldChar w:fldCharType="begin"/>
            </w:r>
            <w:r w:rsidRPr="00627DA0">
              <w:rPr>
                <w:webHidden/>
              </w:rPr>
              <w:instrText xml:space="preserve"> PAGEREF _Toc207870667 \h </w:instrText>
            </w:r>
            <w:r w:rsidRPr="00627DA0">
              <w:rPr>
                <w:webHidden/>
              </w:rPr>
            </w:r>
            <w:r w:rsidRPr="00627DA0">
              <w:rPr>
                <w:webHidden/>
              </w:rPr>
              <w:fldChar w:fldCharType="separate"/>
            </w:r>
            <w:r w:rsidRPr="00627DA0">
              <w:rPr>
                <w:webHidden/>
              </w:rPr>
              <w:t>14</w:t>
            </w:r>
            <w:r w:rsidRPr="00627DA0">
              <w:rPr>
                <w:webHidden/>
              </w:rPr>
              <w:fldChar w:fldCharType="end"/>
            </w:r>
          </w:hyperlink>
        </w:p>
        <w:p w14:paraId="3A1605BE" w14:textId="36C86AAF"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8" w:history="1">
            <w:r w:rsidRPr="00627DA0">
              <w:rPr>
                <w:rStyle w:val="Hyperlink"/>
              </w:rPr>
              <w:t>Commercial</w:t>
            </w:r>
            <w:r w:rsidRPr="00627DA0">
              <w:rPr>
                <w:webHidden/>
              </w:rPr>
              <w:tab/>
            </w:r>
            <w:r w:rsidRPr="00627DA0">
              <w:rPr>
                <w:webHidden/>
              </w:rPr>
              <w:fldChar w:fldCharType="begin"/>
            </w:r>
            <w:r w:rsidRPr="00627DA0">
              <w:rPr>
                <w:webHidden/>
              </w:rPr>
              <w:instrText xml:space="preserve"> PAGEREF _Toc207870668 \h </w:instrText>
            </w:r>
            <w:r w:rsidRPr="00627DA0">
              <w:rPr>
                <w:webHidden/>
              </w:rPr>
            </w:r>
            <w:r w:rsidRPr="00627DA0">
              <w:rPr>
                <w:webHidden/>
              </w:rPr>
              <w:fldChar w:fldCharType="separate"/>
            </w:r>
            <w:r w:rsidRPr="00627DA0">
              <w:rPr>
                <w:webHidden/>
              </w:rPr>
              <w:t>15</w:t>
            </w:r>
            <w:r w:rsidRPr="00627DA0">
              <w:rPr>
                <w:webHidden/>
              </w:rPr>
              <w:fldChar w:fldCharType="end"/>
            </w:r>
          </w:hyperlink>
        </w:p>
        <w:p w14:paraId="79E70A4F" w14:textId="55FA06F4"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69" w:history="1">
            <w:r w:rsidRPr="00627DA0">
              <w:rPr>
                <w:rStyle w:val="Hyperlink"/>
              </w:rPr>
              <w:t>Industrial</w:t>
            </w:r>
            <w:r w:rsidRPr="00627DA0">
              <w:rPr>
                <w:webHidden/>
              </w:rPr>
              <w:tab/>
            </w:r>
            <w:r w:rsidRPr="00627DA0">
              <w:rPr>
                <w:webHidden/>
              </w:rPr>
              <w:fldChar w:fldCharType="begin"/>
            </w:r>
            <w:r w:rsidRPr="00627DA0">
              <w:rPr>
                <w:webHidden/>
              </w:rPr>
              <w:instrText xml:space="preserve"> PAGEREF _Toc207870669 \h </w:instrText>
            </w:r>
            <w:r w:rsidRPr="00627DA0">
              <w:rPr>
                <w:webHidden/>
              </w:rPr>
            </w:r>
            <w:r w:rsidRPr="00627DA0">
              <w:rPr>
                <w:webHidden/>
              </w:rPr>
              <w:fldChar w:fldCharType="separate"/>
            </w:r>
            <w:r w:rsidRPr="00627DA0">
              <w:rPr>
                <w:webHidden/>
              </w:rPr>
              <w:t>16</w:t>
            </w:r>
            <w:r w:rsidRPr="00627DA0">
              <w:rPr>
                <w:webHidden/>
              </w:rPr>
              <w:fldChar w:fldCharType="end"/>
            </w:r>
          </w:hyperlink>
        </w:p>
        <w:p w14:paraId="2F83730F" w14:textId="64886CF9"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0" w:history="1">
            <w:r w:rsidRPr="00627DA0">
              <w:rPr>
                <w:rStyle w:val="Hyperlink"/>
              </w:rPr>
              <w:t>Utility Distribution System</w:t>
            </w:r>
            <w:r w:rsidRPr="00627DA0">
              <w:rPr>
                <w:webHidden/>
              </w:rPr>
              <w:tab/>
            </w:r>
            <w:r w:rsidRPr="00627DA0">
              <w:rPr>
                <w:webHidden/>
              </w:rPr>
              <w:fldChar w:fldCharType="begin"/>
            </w:r>
            <w:r w:rsidRPr="00627DA0">
              <w:rPr>
                <w:webHidden/>
              </w:rPr>
              <w:instrText xml:space="preserve"> PAGEREF _Toc207870670 \h </w:instrText>
            </w:r>
            <w:r w:rsidRPr="00627DA0">
              <w:rPr>
                <w:webHidden/>
              </w:rPr>
            </w:r>
            <w:r w:rsidRPr="00627DA0">
              <w:rPr>
                <w:webHidden/>
              </w:rPr>
              <w:fldChar w:fldCharType="separate"/>
            </w:r>
            <w:r w:rsidRPr="00627DA0">
              <w:rPr>
                <w:webHidden/>
              </w:rPr>
              <w:t>17</w:t>
            </w:r>
            <w:r w:rsidRPr="00627DA0">
              <w:rPr>
                <w:webHidden/>
              </w:rPr>
              <w:fldChar w:fldCharType="end"/>
            </w:r>
          </w:hyperlink>
        </w:p>
        <w:p w14:paraId="60E1D1C0" w14:textId="2C7F9F97"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71" w:history="1">
            <w:r w:rsidRPr="00627DA0">
              <w:rPr>
                <w:rStyle w:val="Hyperlink"/>
              </w:rPr>
              <w:t>Recent Conservation Achievement</w:t>
            </w:r>
            <w:r w:rsidRPr="00627DA0">
              <w:rPr>
                <w:webHidden/>
              </w:rPr>
              <w:tab/>
            </w:r>
            <w:r w:rsidRPr="00627DA0">
              <w:rPr>
                <w:webHidden/>
              </w:rPr>
              <w:fldChar w:fldCharType="begin"/>
            </w:r>
            <w:r w:rsidRPr="00627DA0">
              <w:rPr>
                <w:webHidden/>
              </w:rPr>
              <w:instrText xml:space="preserve"> PAGEREF _Toc207870671 \h </w:instrText>
            </w:r>
            <w:r w:rsidRPr="00627DA0">
              <w:rPr>
                <w:webHidden/>
              </w:rPr>
            </w:r>
            <w:r w:rsidRPr="00627DA0">
              <w:rPr>
                <w:webHidden/>
              </w:rPr>
              <w:fldChar w:fldCharType="separate"/>
            </w:r>
            <w:r w:rsidRPr="00627DA0">
              <w:rPr>
                <w:webHidden/>
              </w:rPr>
              <w:t>18</w:t>
            </w:r>
            <w:r w:rsidRPr="00627DA0">
              <w:rPr>
                <w:webHidden/>
              </w:rPr>
              <w:fldChar w:fldCharType="end"/>
            </w:r>
          </w:hyperlink>
        </w:p>
        <w:p w14:paraId="5238A1A5" w14:textId="00F2130D"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2" w:history="1">
            <w:r w:rsidRPr="00627DA0">
              <w:rPr>
                <w:rStyle w:val="Hyperlink"/>
              </w:rPr>
              <w:t>Overall</w:t>
            </w:r>
            <w:r w:rsidRPr="00627DA0">
              <w:rPr>
                <w:webHidden/>
              </w:rPr>
              <w:tab/>
            </w:r>
            <w:r w:rsidRPr="00627DA0">
              <w:rPr>
                <w:webHidden/>
              </w:rPr>
              <w:fldChar w:fldCharType="begin"/>
            </w:r>
            <w:r w:rsidRPr="00627DA0">
              <w:rPr>
                <w:webHidden/>
              </w:rPr>
              <w:instrText xml:space="preserve"> PAGEREF _Toc207870672 \h </w:instrText>
            </w:r>
            <w:r w:rsidRPr="00627DA0">
              <w:rPr>
                <w:webHidden/>
              </w:rPr>
            </w:r>
            <w:r w:rsidRPr="00627DA0">
              <w:rPr>
                <w:webHidden/>
              </w:rPr>
              <w:fldChar w:fldCharType="separate"/>
            </w:r>
            <w:r w:rsidRPr="00627DA0">
              <w:rPr>
                <w:webHidden/>
              </w:rPr>
              <w:t>18</w:t>
            </w:r>
            <w:r w:rsidRPr="00627DA0">
              <w:rPr>
                <w:webHidden/>
              </w:rPr>
              <w:fldChar w:fldCharType="end"/>
            </w:r>
          </w:hyperlink>
        </w:p>
        <w:p w14:paraId="619E0A2F" w14:textId="40D79B8B"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3" w:history="1">
            <w:r w:rsidRPr="00627DA0">
              <w:rPr>
                <w:rStyle w:val="Hyperlink"/>
              </w:rPr>
              <w:t>Residential</w:t>
            </w:r>
            <w:r w:rsidRPr="00627DA0">
              <w:rPr>
                <w:webHidden/>
              </w:rPr>
              <w:tab/>
            </w:r>
            <w:r w:rsidRPr="00627DA0">
              <w:rPr>
                <w:webHidden/>
              </w:rPr>
              <w:fldChar w:fldCharType="begin"/>
            </w:r>
            <w:r w:rsidRPr="00627DA0">
              <w:rPr>
                <w:webHidden/>
              </w:rPr>
              <w:instrText xml:space="preserve"> PAGEREF _Toc207870673 \h </w:instrText>
            </w:r>
            <w:r w:rsidRPr="00627DA0">
              <w:rPr>
                <w:webHidden/>
              </w:rPr>
            </w:r>
            <w:r w:rsidRPr="00627DA0">
              <w:rPr>
                <w:webHidden/>
              </w:rPr>
              <w:fldChar w:fldCharType="separate"/>
            </w:r>
            <w:r w:rsidRPr="00627DA0">
              <w:rPr>
                <w:webHidden/>
              </w:rPr>
              <w:t>18</w:t>
            </w:r>
            <w:r w:rsidRPr="00627DA0">
              <w:rPr>
                <w:webHidden/>
              </w:rPr>
              <w:fldChar w:fldCharType="end"/>
            </w:r>
          </w:hyperlink>
        </w:p>
        <w:p w14:paraId="06F9A5B6" w14:textId="31A540A2"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4" w:history="1">
            <w:r w:rsidRPr="00627DA0">
              <w:rPr>
                <w:rStyle w:val="Hyperlink"/>
              </w:rPr>
              <w:t>Commercial</w:t>
            </w:r>
            <w:r w:rsidRPr="00627DA0">
              <w:rPr>
                <w:webHidden/>
              </w:rPr>
              <w:tab/>
            </w:r>
            <w:r w:rsidRPr="00627DA0">
              <w:rPr>
                <w:webHidden/>
              </w:rPr>
              <w:fldChar w:fldCharType="begin"/>
            </w:r>
            <w:r w:rsidRPr="00627DA0">
              <w:rPr>
                <w:webHidden/>
              </w:rPr>
              <w:instrText xml:space="preserve"> PAGEREF _Toc207870674 \h </w:instrText>
            </w:r>
            <w:r w:rsidRPr="00627DA0">
              <w:rPr>
                <w:webHidden/>
              </w:rPr>
            </w:r>
            <w:r w:rsidRPr="00627DA0">
              <w:rPr>
                <w:webHidden/>
              </w:rPr>
              <w:fldChar w:fldCharType="separate"/>
            </w:r>
            <w:r w:rsidRPr="00627DA0">
              <w:rPr>
                <w:webHidden/>
              </w:rPr>
              <w:t>19</w:t>
            </w:r>
            <w:r w:rsidRPr="00627DA0">
              <w:rPr>
                <w:webHidden/>
              </w:rPr>
              <w:fldChar w:fldCharType="end"/>
            </w:r>
          </w:hyperlink>
        </w:p>
        <w:p w14:paraId="3256FB87" w14:textId="310ACA06"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5" w:history="1">
            <w:r w:rsidRPr="00627DA0">
              <w:rPr>
                <w:rStyle w:val="Hyperlink"/>
              </w:rPr>
              <w:t>Industrial</w:t>
            </w:r>
            <w:r w:rsidRPr="00627DA0">
              <w:rPr>
                <w:webHidden/>
              </w:rPr>
              <w:tab/>
            </w:r>
            <w:r w:rsidRPr="00627DA0">
              <w:rPr>
                <w:webHidden/>
              </w:rPr>
              <w:fldChar w:fldCharType="begin"/>
            </w:r>
            <w:r w:rsidRPr="00627DA0">
              <w:rPr>
                <w:webHidden/>
              </w:rPr>
              <w:instrText xml:space="preserve"> PAGEREF _Toc207870675 \h </w:instrText>
            </w:r>
            <w:r w:rsidRPr="00627DA0">
              <w:rPr>
                <w:webHidden/>
              </w:rPr>
            </w:r>
            <w:r w:rsidRPr="00627DA0">
              <w:rPr>
                <w:webHidden/>
              </w:rPr>
              <w:fldChar w:fldCharType="separate"/>
            </w:r>
            <w:r w:rsidRPr="00627DA0">
              <w:rPr>
                <w:webHidden/>
              </w:rPr>
              <w:t>19</w:t>
            </w:r>
            <w:r w:rsidRPr="00627DA0">
              <w:rPr>
                <w:webHidden/>
              </w:rPr>
              <w:fldChar w:fldCharType="end"/>
            </w:r>
          </w:hyperlink>
        </w:p>
        <w:p w14:paraId="4DFC3DAA" w14:textId="25A02897"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6" w:history="1">
            <w:r w:rsidRPr="00627DA0">
              <w:rPr>
                <w:rStyle w:val="Hyperlink"/>
              </w:rPr>
              <w:t>Agricultural</w:t>
            </w:r>
            <w:r w:rsidRPr="00627DA0">
              <w:rPr>
                <w:webHidden/>
              </w:rPr>
              <w:tab/>
            </w:r>
            <w:r w:rsidRPr="00627DA0">
              <w:rPr>
                <w:webHidden/>
              </w:rPr>
              <w:fldChar w:fldCharType="begin"/>
            </w:r>
            <w:r w:rsidRPr="00627DA0">
              <w:rPr>
                <w:webHidden/>
              </w:rPr>
              <w:instrText xml:space="preserve"> PAGEREF _Toc207870676 \h </w:instrText>
            </w:r>
            <w:r w:rsidRPr="00627DA0">
              <w:rPr>
                <w:webHidden/>
              </w:rPr>
            </w:r>
            <w:r w:rsidRPr="00627DA0">
              <w:rPr>
                <w:webHidden/>
              </w:rPr>
              <w:fldChar w:fldCharType="separate"/>
            </w:r>
            <w:r w:rsidRPr="00627DA0">
              <w:rPr>
                <w:webHidden/>
              </w:rPr>
              <w:t>20</w:t>
            </w:r>
            <w:r w:rsidRPr="00627DA0">
              <w:rPr>
                <w:webHidden/>
              </w:rPr>
              <w:fldChar w:fldCharType="end"/>
            </w:r>
          </w:hyperlink>
        </w:p>
        <w:p w14:paraId="60D67181" w14:textId="56975013"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77" w:history="1">
            <w:r w:rsidRPr="00627DA0">
              <w:rPr>
                <w:rStyle w:val="Hyperlink"/>
              </w:rPr>
              <w:t>Results</w:t>
            </w:r>
            <w:r w:rsidRPr="00627DA0">
              <w:rPr>
                <w:webHidden/>
              </w:rPr>
              <w:tab/>
            </w:r>
            <w:r w:rsidRPr="00627DA0">
              <w:rPr>
                <w:webHidden/>
              </w:rPr>
              <w:fldChar w:fldCharType="begin"/>
            </w:r>
            <w:r w:rsidRPr="00627DA0">
              <w:rPr>
                <w:webHidden/>
              </w:rPr>
              <w:instrText xml:space="preserve"> PAGEREF _Toc207870677 \h </w:instrText>
            </w:r>
            <w:r w:rsidRPr="00627DA0">
              <w:rPr>
                <w:webHidden/>
              </w:rPr>
            </w:r>
            <w:r w:rsidRPr="00627DA0">
              <w:rPr>
                <w:webHidden/>
              </w:rPr>
              <w:fldChar w:fldCharType="separate"/>
            </w:r>
            <w:r w:rsidRPr="00627DA0">
              <w:rPr>
                <w:webHidden/>
              </w:rPr>
              <w:t>21</w:t>
            </w:r>
            <w:r w:rsidRPr="00627DA0">
              <w:rPr>
                <w:webHidden/>
              </w:rPr>
              <w:fldChar w:fldCharType="end"/>
            </w:r>
          </w:hyperlink>
        </w:p>
        <w:p w14:paraId="1DCD5E66" w14:textId="28CD51B0"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8" w:history="1">
            <w:r w:rsidRPr="00627DA0">
              <w:rPr>
                <w:rStyle w:val="Hyperlink"/>
              </w:rPr>
              <w:t>Achievable Conservation Potential</w:t>
            </w:r>
            <w:r w:rsidRPr="00627DA0">
              <w:rPr>
                <w:webHidden/>
              </w:rPr>
              <w:tab/>
            </w:r>
            <w:r w:rsidRPr="00627DA0">
              <w:rPr>
                <w:webHidden/>
              </w:rPr>
              <w:fldChar w:fldCharType="begin"/>
            </w:r>
            <w:r w:rsidRPr="00627DA0">
              <w:rPr>
                <w:webHidden/>
              </w:rPr>
              <w:instrText xml:space="preserve"> PAGEREF _Toc207870678 \h </w:instrText>
            </w:r>
            <w:r w:rsidRPr="00627DA0">
              <w:rPr>
                <w:webHidden/>
              </w:rPr>
            </w:r>
            <w:r w:rsidRPr="00627DA0">
              <w:rPr>
                <w:webHidden/>
              </w:rPr>
              <w:fldChar w:fldCharType="separate"/>
            </w:r>
            <w:r w:rsidRPr="00627DA0">
              <w:rPr>
                <w:webHidden/>
              </w:rPr>
              <w:t>21</w:t>
            </w:r>
            <w:r w:rsidRPr="00627DA0">
              <w:rPr>
                <w:webHidden/>
              </w:rPr>
              <w:fldChar w:fldCharType="end"/>
            </w:r>
          </w:hyperlink>
        </w:p>
        <w:p w14:paraId="6AAB1E2F" w14:textId="5344871E"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79" w:history="1">
            <w:r w:rsidRPr="00627DA0">
              <w:rPr>
                <w:rStyle w:val="Hyperlink"/>
              </w:rPr>
              <w:t>Cost-Effective Conservation Potential</w:t>
            </w:r>
            <w:r w:rsidRPr="00627DA0">
              <w:rPr>
                <w:webHidden/>
              </w:rPr>
              <w:tab/>
            </w:r>
            <w:r w:rsidRPr="00627DA0">
              <w:rPr>
                <w:webHidden/>
              </w:rPr>
              <w:fldChar w:fldCharType="begin"/>
            </w:r>
            <w:r w:rsidRPr="00627DA0">
              <w:rPr>
                <w:webHidden/>
              </w:rPr>
              <w:instrText xml:space="preserve"> PAGEREF _Toc207870679 \h </w:instrText>
            </w:r>
            <w:r w:rsidRPr="00627DA0">
              <w:rPr>
                <w:webHidden/>
              </w:rPr>
            </w:r>
            <w:r w:rsidRPr="00627DA0">
              <w:rPr>
                <w:webHidden/>
              </w:rPr>
              <w:fldChar w:fldCharType="separate"/>
            </w:r>
            <w:r w:rsidRPr="00627DA0">
              <w:rPr>
                <w:webHidden/>
              </w:rPr>
              <w:t>22</w:t>
            </w:r>
            <w:r w:rsidRPr="00627DA0">
              <w:rPr>
                <w:webHidden/>
              </w:rPr>
              <w:fldChar w:fldCharType="end"/>
            </w:r>
          </w:hyperlink>
        </w:p>
        <w:p w14:paraId="41B1D494" w14:textId="35CB3227"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0" w:history="1">
            <w:r w:rsidRPr="00627DA0">
              <w:rPr>
                <w:rStyle w:val="Hyperlink"/>
              </w:rPr>
              <w:t>Sensitivity Results</w:t>
            </w:r>
            <w:r w:rsidRPr="00627DA0">
              <w:rPr>
                <w:webHidden/>
              </w:rPr>
              <w:tab/>
            </w:r>
            <w:r w:rsidRPr="00627DA0">
              <w:rPr>
                <w:webHidden/>
              </w:rPr>
              <w:fldChar w:fldCharType="begin"/>
            </w:r>
            <w:r w:rsidRPr="00627DA0">
              <w:rPr>
                <w:webHidden/>
              </w:rPr>
              <w:instrText xml:space="preserve"> PAGEREF _Toc207870680 \h </w:instrText>
            </w:r>
            <w:r w:rsidRPr="00627DA0">
              <w:rPr>
                <w:webHidden/>
              </w:rPr>
            </w:r>
            <w:r w:rsidRPr="00627DA0">
              <w:rPr>
                <w:webHidden/>
              </w:rPr>
              <w:fldChar w:fldCharType="separate"/>
            </w:r>
            <w:r w:rsidRPr="00627DA0">
              <w:rPr>
                <w:webHidden/>
              </w:rPr>
              <w:t>29</w:t>
            </w:r>
            <w:r w:rsidRPr="00627DA0">
              <w:rPr>
                <w:webHidden/>
              </w:rPr>
              <w:fldChar w:fldCharType="end"/>
            </w:r>
          </w:hyperlink>
        </w:p>
        <w:p w14:paraId="5E3513FF" w14:textId="420C14B0"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1" w:history="1">
            <w:r w:rsidRPr="00627DA0">
              <w:rPr>
                <w:rStyle w:val="Hyperlink"/>
              </w:rPr>
              <w:t>Summary</w:t>
            </w:r>
            <w:r w:rsidRPr="00627DA0">
              <w:rPr>
                <w:webHidden/>
              </w:rPr>
              <w:tab/>
            </w:r>
            <w:r w:rsidRPr="00627DA0">
              <w:rPr>
                <w:webHidden/>
              </w:rPr>
              <w:fldChar w:fldCharType="begin"/>
            </w:r>
            <w:r w:rsidRPr="00627DA0">
              <w:rPr>
                <w:webHidden/>
              </w:rPr>
              <w:instrText xml:space="preserve"> PAGEREF _Toc207870681 \h </w:instrText>
            </w:r>
            <w:r w:rsidRPr="00627DA0">
              <w:rPr>
                <w:webHidden/>
              </w:rPr>
            </w:r>
            <w:r w:rsidRPr="00627DA0">
              <w:rPr>
                <w:webHidden/>
              </w:rPr>
              <w:fldChar w:fldCharType="separate"/>
            </w:r>
            <w:r w:rsidRPr="00627DA0">
              <w:rPr>
                <w:webHidden/>
              </w:rPr>
              <w:t>31</w:t>
            </w:r>
            <w:r w:rsidRPr="00627DA0">
              <w:rPr>
                <w:webHidden/>
              </w:rPr>
              <w:fldChar w:fldCharType="end"/>
            </w:r>
          </w:hyperlink>
        </w:p>
        <w:p w14:paraId="354CFC7F" w14:textId="7DC9A555"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82" w:history="1">
            <w:r w:rsidRPr="00627DA0">
              <w:rPr>
                <w:rStyle w:val="Hyperlink"/>
              </w:rPr>
              <w:t>Compliance with State Requirements</w:t>
            </w:r>
            <w:r w:rsidRPr="00627DA0">
              <w:rPr>
                <w:webHidden/>
              </w:rPr>
              <w:tab/>
            </w:r>
            <w:r w:rsidRPr="00627DA0">
              <w:rPr>
                <w:webHidden/>
              </w:rPr>
              <w:fldChar w:fldCharType="begin"/>
            </w:r>
            <w:r w:rsidRPr="00627DA0">
              <w:rPr>
                <w:webHidden/>
              </w:rPr>
              <w:instrText xml:space="preserve"> PAGEREF _Toc207870682 \h </w:instrText>
            </w:r>
            <w:r w:rsidRPr="00627DA0">
              <w:rPr>
                <w:webHidden/>
              </w:rPr>
            </w:r>
            <w:r w:rsidRPr="00627DA0">
              <w:rPr>
                <w:webHidden/>
              </w:rPr>
              <w:fldChar w:fldCharType="separate"/>
            </w:r>
            <w:r w:rsidRPr="00627DA0">
              <w:rPr>
                <w:webHidden/>
              </w:rPr>
              <w:t>31</w:t>
            </w:r>
            <w:r w:rsidRPr="00627DA0">
              <w:rPr>
                <w:webHidden/>
              </w:rPr>
              <w:fldChar w:fldCharType="end"/>
            </w:r>
          </w:hyperlink>
        </w:p>
        <w:p w14:paraId="657F6C53" w14:textId="0098A474"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3" w:history="1">
            <w:r w:rsidRPr="00627DA0">
              <w:rPr>
                <w:rStyle w:val="Hyperlink"/>
              </w:rPr>
              <w:t>References</w:t>
            </w:r>
            <w:r w:rsidRPr="00627DA0">
              <w:rPr>
                <w:webHidden/>
              </w:rPr>
              <w:tab/>
            </w:r>
            <w:r w:rsidRPr="00627DA0">
              <w:rPr>
                <w:webHidden/>
              </w:rPr>
              <w:fldChar w:fldCharType="begin"/>
            </w:r>
            <w:r w:rsidRPr="00627DA0">
              <w:rPr>
                <w:webHidden/>
              </w:rPr>
              <w:instrText xml:space="preserve"> PAGEREF _Toc207870683 \h </w:instrText>
            </w:r>
            <w:r w:rsidRPr="00627DA0">
              <w:rPr>
                <w:webHidden/>
              </w:rPr>
            </w:r>
            <w:r w:rsidRPr="00627DA0">
              <w:rPr>
                <w:webHidden/>
              </w:rPr>
              <w:fldChar w:fldCharType="separate"/>
            </w:r>
            <w:r w:rsidRPr="00627DA0">
              <w:rPr>
                <w:webHidden/>
              </w:rPr>
              <w:t>32</w:t>
            </w:r>
            <w:r w:rsidRPr="00627DA0">
              <w:rPr>
                <w:webHidden/>
              </w:rPr>
              <w:fldChar w:fldCharType="end"/>
            </w:r>
          </w:hyperlink>
        </w:p>
        <w:p w14:paraId="646BA456" w14:textId="725BF5B7"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4" w:history="1">
            <w:r w:rsidRPr="00627DA0">
              <w:rPr>
                <w:rStyle w:val="Hyperlink"/>
              </w:rPr>
              <w:t>Appendix I: Acronyms</w:t>
            </w:r>
            <w:r w:rsidRPr="00627DA0">
              <w:rPr>
                <w:webHidden/>
              </w:rPr>
              <w:tab/>
            </w:r>
            <w:r w:rsidRPr="00627DA0">
              <w:rPr>
                <w:webHidden/>
              </w:rPr>
              <w:fldChar w:fldCharType="begin"/>
            </w:r>
            <w:r w:rsidRPr="00627DA0">
              <w:rPr>
                <w:webHidden/>
              </w:rPr>
              <w:instrText xml:space="preserve"> PAGEREF _Toc207870684 \h </w:instrText>
            </w:r>
            <w:r w:rsidRPr="00627DA0">
              <w:rPr>
                <w:webHidden/>
              </w:rPr>
            </w:r>
            <w:r w:rsidRPr="00627DA0">
              <w:rPr>
                <w:webHidden/>
              </w:rPr>
              <w:fldChar w:fldCharType="separate"/>
            </w:r>
            <w:r w:rsidRPr="00627DA0">
              <w:rPr>
                <w:webHidden/>
              </w:rPr>
              <w:t>33</w:t>
            </w:r>
            <w:r w:rsidRPr="00627DA0">
              <w:rPr>
                <w:webHidden/>
              </w:rPr>
              <w:fldChar w:fldCharType="end"/>
            </w:r>
          </w:hyperlink>
        </w:p>
        <w:p w14:paraId="108C5E92" w14:textId="6E4F4E38"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5" w:history="1">
            <w:r w:rsidRPr="00627DA0">
              <w:rPr>
                <w:rStyle w:val="Hyperlink"/>
              </w:rPr>
              <w:t>Appendix II: Glossary</w:t>
            </w:r>
            <w:r w:rsidRPr="00627DA0">
              <w:rPr>
                <w:webHidden/>
              </w:rPr>
              <w:tab/>
            </w:r>
            <w:r w:rsidRPr="00627DA0">
              <w:rPr>
                <w:webHidden/>
              </w:rPr>
              <w:fldChar w:fldCharType="begin"/>
            </w:r>
            <w:r w:rsidRPr="00627DA0">
              <w:rPr>
                <w:webHidden/>
              </w:rPr>
              <w:instrText xml:space="preserve"> PAGEREF _Toc207870685 \h </w:instrText>
            </w:r>
            <w:r w:rsidRPr="00627DA0">
              <w:rPr>
                <w:webHidden/>
              </w:rPr>
            </w:r>
            <w:r w:rsidRPr="00627DA0">
              <w:rPr>
                <w:webHidden/>
              </w:rPr>
              <w:fldChar w:fldCharType="separate"/>
            </w:r>
            <w:r w:rsidRPr="00627DA0">
              <w:rPr>
                <w:webHidden/>
              </w:rPr>
              <w:t>34</w:t>
            </w:r>
            <w:r w:rsidRPr="00627DA0">
              <w:rPr>
                <w:webHidden/>
              </w:rPr>
              <w:fldChar w:fldCharType="end"/>
            </w:r>
          </w:hyperlink>
        </w:p>
        <w:p w14:paraId="7414CD05" w14:textId="7974005C"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6" w:history="1">
            <w:r w:rsidRPr="00627DA0">
              <w:rPr>
                <w:rStyle w:val="Hyperlink"/>
              </w:rPr>
              <w:t>Appendix III: Compliance with State Requirements</w:t>
            </w:r>
            <w:r w:rsidRPr="00627DA0">
              <w:rPr>
                <w:webHidden/>
              </w:rPr>
              <w:tab/>
            </w:r>
            <w:r w:rsidRPr="00627DA0">
              <w:rPr>
                <w:webHidden/>
              </w:rPr>
              <w:fldChar w:fldCharType="begin"/>
            </w:r>
            <w:r w:rsidRPr="00627DA0">
              <w:rPr>
                <w:webHidden/>
              </w:rPr>
              <w:instrText xml:space="preserve"> PAGEREF _Toc207870686 \h </w:instrText>
            </w:r>
            <w:r w:rsidRPr="00627DA0">
              <w:rPr>
                <w:webHidden/>
              </w:rPr>
            </w:r>
            <w:r w:rsidRPr="00627DA0">
              <w:rPr>
                <w:webHidden/>
              </w:rPr>
              <w:fldChar w:fldCharType="separate"/>
            </w:r>
            <w:r w:rsidRPr="00627DA0">
              <w:rPr>
                <w:webHidden/>
              </w:rPr>
              <w:t>35</w:t>
            </w:r>
            <w:r w:rsidRPr="00627DA0">
              <w:rPr>
                <w:webHidden/>
              </w:rPr>
              <w:fldChar w:fldCharType="end"/>
            </w:r>
          </w:hyperlink>
        </w:p>
        <w:p w14:paraId="5D0A2BAE" w14:textId="6C59E16C"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87" w:history="1">
            <w:r w:rsidRPr="00627DA0">
              <w:rPr>
                <w:rStyle w:val="Hyperlink"/>
              </w:rPr>
              <w:t>Appendix IV: Avoided Costs</w:t>
            </w:r>
            <w:r w:rsidRPr="00627DA0">
              <w:rPr>
                <w:webHidden/>
              </w:rPr>
              <w:tab/>
            </w:r>
            <w:r w:rsidRPr="00627DA0">
              <w:rPr>
                <w:webHidden/>
              </w:rPr>
              <w:fldChar w:fldCharType="begin"/>
            </w:r>
            <w:r w:rsidRPr="00627DA0">
              <w:rPr>
                <w:webHidden/>
              </w:rPr>
              <w:instrText xml:space="preserve"> PAGEREF _Toc207870687 \h </w:instrText>
            </w:r>
            <w:r w:rsidRPr="00627DA0">
              <w:rPr>
                <w:webHidden/>
              </w:rPr>
            </w:r>
            <w:r w:rsidRPr="00627DA0">
              <w:rPr>
                <w:webHidden/>
              </w:rPr>
              <w:fldChar w:fldCharType="separate"/>
            </w:r>
            <w:r w:rsidRPr="00627DA0">
              <w:rPr>
                <w:webHidden/>
              </w:rPr>
              <w:t>39</w:t>
            </w:r>
            <w:r w:rsidRPr="00627DA0">
              <w:rPr>
                <w:webHidden/>
              </w:rPr>
              <w:fldChar w:fldCharType="end"/>
            </w:r>
          </w:hyperlink>
        </w:p>
        <w:p w14:paraId="6A3A9D95" w14:textId="15ED5B9C"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88" w:history="1">
            <w:r w:rsidRPr="00627DA0">
              <w:rPr>
                <w:rStyle w:val="Hyperlink"/>
              </w:rPr>
              <w:t>Avoided Energy Costs</w:t>
            </w:r>
            <w:r w:rsidRPr="00627DA0">
              <w:rPr>
                <w:webHidden/>
              </w:rPr>
              <w:tab/>
            </w:r>
            <w:r w:rsidRPr="00627DA0">
              <w:rPr>
                <w:webHidden/>
              </w:rPr>
              <w:fldChar w:fldCharType="begin"/>
            </w:r>
            <w:r w:rsidRPr="00627DA0">
              <w:rPr>
                <w:webHidden/>
              </w:rPr>
              <w:instrText xml:space="preserve"> PAGEREF _Toc207870688 \h </w:instrText>
            </w:r>
            <w:r w:rsidRPr="00627DA0">
              <w:rPr>
                <w:webHidden/>
              </w:rPr>
            </w:r>
            <w:r w:rsidRPr="00627DA0">
              <w:rPr>
                <w:webHidden/>
              </w:rPr>
              <w:fldChar w:fldCharType="separate"/>
            </w:r>
            <w:r w:rsidRPr="00627DA0">
              <w:rPr>
                <w:webHidden/>
              </w:rPr>
              <w:t>39</w:t>
            </w:r>
            <w:r w:rsidRPr="00627DA0">
              <w:rPr>
                <w:webHidden/>
              </w:rPr>
              <w:fldChar w:fldCharType="end"/>
            </w:r>
          </w:hyperlink>
        </w:p>
        <w:p w14:paraId="65BC4221" w14:textId="2D603B92"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89" w:history="1">
            <w:r w:rsidRPr="00627DA0">
              <w:rPr>
                <w:rStyle w:val="Hyperlink"/>
              </w:rPr>
              <w:t>Deferred Transmission and Distribution Capacity Costs</w:t>
            </w:r>
            <w:r w:rsidRPr="00627DA0">
              <w:rPr>
                <w:webHidden/>
              </w:rPr>
              <w:tab/>
            </w:r>
            <w:r w:rsidRPr="00627DA0">
              <w:rPr>
                <w:webHidden/>
              </w:rPr>
              <w:fldChar w:fldCharType="begin"/>
            </w:r>
            <w:r w:rsidRPr="00627DA0">
              <w:rPr>
                <w:webHidden/>
              </w:rPr>
              <w:instrText xml:space="preserve"> PAGEREF _Toc207870689 \h </w:instrText>
            </w:r>
            <w:r w:rsidRPr="00627DA0">
              <w:rPr>
                <w:webHidden/>
              </w:rPr>
            </w:r>
            <w:r w:rsidRPr="00627DA0">
              <w:rPr>
                <w:webHidden/>
              </w:rPr>
              <w:fldChar w:fldCharType="separate"/>
            </w:r>
            <w:r w:rsidRPr="00627DA0">
              <w:rPr>
                <w:webHidden/>
              </w:rPr>
              <w:t>42</w:t>
            </w:r>
            <w:r w:rsidRPr="00627DA0">
              <w:rPr>
                <w:webHidden/>
              </w:rPr>
              <w:fldChar w:fldCharType="end"/>
            </w:r>
          </w:hyperlink>
        </w:p>
        <w:p w14:paraId="0241E680" w14:textId="4B947BCE"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0" w:history="1">
            <w:r w:rsidRPr="00627DA0">
              <w:rPr>
                <w:rStyle w:val="Hyperlink"/>
              </w:rPr>
              <w:t>Deferred Generation Capacity Costs</w:t>
            </w:r>
            <w:r w:rsidRPr="00627DA0">
              <w:rPr>
                <w:webHidden/>
              </w:rPr>
              <w:tab/>
            </w:r>
            <w:r w:rsidRPr="00627DA0">
              <w:rPr>
                <w:webHidden/>
              </w:rPr>
              <w:fldChar w:fldCharType="begin"/>
            </w:r>
            <w:r w:rsidRPr="00627DA0">
              <w:rPr>
                <w:webHidden/>
              </w:rPr>
              <w:instrText xml:space="preserve"> PAGEREF _Toc207870690 \h </w:instrText>
            </w:r>
            <w:r w:rsidRPr="00627DA0">
              <w:rPr>
                <w:webHidden/>
              </w:rPr>
            </w:r>
            <w:r w:rsidRPr="00627DA0">
              <w:rPr>
                <w:webHidden/>
              </w:rPr>
              <w:fldChar w:fldCharType="separate"/>
            </w:r>
            <w:r w:rsidRPr="00627DA0">
              <w:rPr>
                <w:webHidden/>
              </w:rPr>
              <w:t>43</w:t>
            </w:r>
            <w:r w:rsidRPr="00627DA0">
              <w:rPr>
                <w:webHidden/>
              </w:rPr>
              <w:fldChar w:fldCharType="end"/>
            </w:r>
          </w:hyperlink>
        </w:p>
        <w:p w14:paraId="35346F4D" w14:textId="30F8DDD3"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1" w:history="1">
            <w:r w:rsidRPr="00627DA0">
              <w:rPr>
                <w:rStyle w:val="Hyperlink"/>
              </w:rPr>
              <w:t>Social Cost of Carbon</w:t>
            </w:r>
            <w:r w:rsidRPr="00627DA0">
              <w:rPr>
                <w:webHidden/>
              </w:rPr>
              <w:tab/>
            </w:r>
            <w:r w:rsidRPr="00627DA0">
              <w:rPr>
                <w:webHidden/>
              </w:rPr>
              <w:fldChar w:fldCharType="begin"/>
            </w:r>
            <w:r w:rsidRPr="00627DA0">
              <w:rPr>
                <w:webHidden/>
              </w:rPr>
              <w:instrText xml:space="preserve"> PAGEREF _Toc207870691 \h </w:instrText>
            </w:r>
            <w:r w:rsidRPr="00627DA0">
              <w:rPr>
                <w:webHidden/>
              </w:rPr>
            </w:r>
            <w:r w:rsidRPr="00627DA0">
              <w:rPr>
                <w:webHidden/>
              </w:rPr>
              <w:fldChar w:fldCharType="separate"/>
            </w:r>
            <w:r w:rsidRPr="00627DA0">
              <w:rPr>
                <w:webHidden/>
              </w:rPr>
              <w:t>43</w:t>
            </w:r>
            <w:r w:rsidRPr="00627DA0">
              <w:rPr>
                <w:webHidden/>
              </w:rPr>
              <w:fldChar w:fldCharType="end"/>
            </w:r>
          </w:hyperlink>
        </w:p>
        <w:p w14:paraId="379EBCA9" w14:textId="24CE3A26"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2" w:history="1">
            <w:r w:rsidRPr="00627DA0">
              <w:rPr>
                <w:rStyle w:val="Hyperlink"/>
              </w:rPr>
              <w:t>Renewable Portfolio Standard Compliance Costs</w:t>
            </w:r>
            <w:r w:rsidRPr="00627DA0">
              <w:rPr>
                <w:webHidden/>
              </w:rPr>
              <w:tab/>
            </w:r>
            <w:r w:rsidRPr="00627DA0">
              <w:rPr>
                <w:webHidden/>
              </w:rPr>
              <w:fldChar w:fldCharType="begin"/>
            </w:r>
            <w:r w:rsidRPr="00627DA0">
              <w:rPr>
                <w:webHidden/>
              </w:rPr>
              <w:instrText xml:space="preserve"> PAGEREF _Toc207870692 \h </w:instrText>
            </w:r>
            <w:r w:rsidRPr="00627DA0">
              <w:rPr>
                <w:webHidden/>
              </w:rPr>
            </w:r>
            <w:r w:rsidRPr="00627DA0">
              <w:rPr>
                <w:webHidden/>
              </w:rPr>
              <w:fldChar w:fldCharType="separate"/>
            </w:r>
            <w:r w:rsidRPr="00627DA0">
              <w:rPr>
                <w:webHidden/>
              </w:rPr>
              <w:t>44</w:t>
            </w:r>
            <w:r w:rsidRPr="00627DA0">
              <w:rPr>
                <w:webHidden/>
              </w:rPr>
              <w:fldChar w:fldCharType="end"/>
            </w:r>
          </w:hyperlink>
        </w:p>
        <w:p w14:paraId="5FB86826" w14:textId="18C3F3DB"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3" w:history="1">
            <w:r w:rsidRPr="00627DA0">
              <w:rPr>
                <w:rStyle w:val="Hyperlink"/>
              </w:rPr>
              <w:t>Risk Mitigation Credit</w:t>
            </w:r>
            <w:r w:rsidRPr="00627DA0">
              <w:rPr>
                <w:webHidden/>
              </w:rPr>
              <w:tab/>
            </w:r>
            <w:r w:rsidRPr="00627DA0">
              <w:rPr>
                <w:webHidden/>
              </w:rPr>
              <w:fldChar w:fldCharType="begin"/>
            </w:r>
            <w:r w:rsidRPr="00627DA0">
              <w:rPr>
                <w:webHidden/>
              </w:rPr>
              <w:instrText xml:space="preserve"> PAGEREF _Toc207870693 \h </w:instrText>
            </w:r>
            <w:r w:rsidRPr="00627DA0">
              <w:rPr>
                <w:webHidden/>
              </w:rPr>
            </w:r>
            <w:r w:rsidRPr="00627DA0">
              <w:rPr>
                <w:webHidden/>
              </w:rPr>
              <w:fldChar w:fldCharType="separate"/>
            </w:r>
            <w:r w:rsidRPr="00627DA0">
              <w:rPr>
                <w:webHidden/>
              </w:rPr>
              <w:t>44</w:t>
            </w:r>
            <w:r w:rsidRPr="00627DA0">
              <w:rPr>
                <w:webHidden/>
              </w:rPr>
              <w:fldChar w:fldCharType="end"/>
            </w:r>
          </w:hyperlink>
        </w:p>
        <w:p w14:paraId="408061F5" w14:textId="289004AC"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4" w:history="1">
            <w:r w:rsidRPr="00627DA0">
              <w:rPr>
                <w:rStyle w:val="Hyperlink"/>
              </w:rPr>
              <w:t>Northwest Power Act Credit</w:t>
            </w:r>
            <w:r w:rsidRPr="00627DA0">
              <w:rPr>
                <w:webHidden/>
              </w:rPr>
              <w:tab/>
            </w:r>
            <w:r w:rsidRPr="00627DA0">
              <w:rPr>
                <w:webHidden/>
              </w:rPr>
              <w:fldChar w:fldCharType="begin"/>
            </w:r>
            <w:r w:rsidRPr="00627DA0">
              <w:rPr>
                <w:webHidden/>
              </w:rPr>
              <w:instrText xml:space="preserve"> PAGEREF _Toc207870694 \h </w:instrText>
            </w:r>
            <w:r w:rsidRPr="00627DA0">
              <w:rPr>
                <w:webHidden/>
              </w:rPr>
            </w:r>
            <w:r w:rsidRPr="00627DA0">
              <w:rPr>
                <w:webHidden/>
              </w:rPr>
              <w:fldChar w:fldCharType="separate"/>
            </w:r>
            <w:r w:rsidRPr="00627DA0">
              <w:rPr>
                <w:webHidden/>
              </w:rPr>
              <w:t>45</w:t>
            </w:r>
            <w:r w:rsidRPr="00627DA0">
              <w:rPr>
                <w:webHidden/>
              </w:rPr>
              <w:fldChar w:fldCharType="end"/>
            </w:r>
          </w:hyperlink>
        </w:p>
        <w:p w14:paraId="183AB9EA" w14:textId="59284582"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5" w:history="1">
            <w:r w:rsidRPr="00627DA0">
              <w:rPr>
                <w:rStyle w:val="Hyperlink"/>
              </w:rPr>
              <w:t>Summary</w:t>
            </w:r>
            <w:r w:rsidRPr="00627DA0">
              <w:rPr>
                <w:webHidden/>
              </w:rPr>
              <w:tab/>
            </w:r>
            <w:r w:rsidRPr="00627DA0">
              <w:rPr>
                <w:webHidden/>
              </w:rPr>
              <w:fldChar w:fldCharType="begin"/>
            </w:r>
            <w:r w:rsidRPr="00627DA0">
              <w:rPr>
                <w:webHidden/>
              </w:rPr>
              <w:instrText xml:space="preserve"> PAGEREF _Toc207870695 \h </w:instrText>
            </w:r>
            <w:r w:rsidRPr="00627DA0">
              <w:rPr>
                <w:webHidden/>
              </w:rPr>
            </w:r>
            <w:r w:rsidRPr="00627DA0">
              <w:rPr>
                <w:webHidden/>
              </w:rPr>
              <w:fldChar w:fldCharType="separate"/>
            </w:r>
            <w:r w:rsidRPr="00627DA0">
              <w:rPr>
                <w:webHidden/>
              </w:rPr>
              <w:t>45</w:t>
            </w:r>
            <w:r w:rsidRPr="00627DA0">
              <w:rPr>
                <w:webHidden/>
              </w:rPr>
              <w:fldChar w:fldCharType="end"/>
            </w:r>
          </w:hyperlink>
        </w:p>
        <w:p w14:paraId="1FFB0B8B" w14:textId="7ABEB78A"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96" w:history="1">
            <w:r w:rsidRPr="00627DA0">
              <w:rPr>
                <w:rStyle w:val="Hyperlink"/>
              </w:rPr>
              <w:t>Appendix V: Measure List</w:t>
            </w:r>
            <w:r w:rsidRPr="00627DA0">
              <w:rPr>
                <w:webHidden/>
              </w:rPr>
              <w:tab/>
            </w:r>
            <w:r w:rsidRPr="00627DA0">
              <w:rPr>
                <w:webHidden/>
              </w:rPr>
              <w:fldChar w:fldCharType="begin"/>
            </w:r>
            <w:r w:rsidRPr="00627DA0">
              <w:rPr>
                <w:webHidden/>
              </w:rPr>
              <w:instrText xml:space="preserve"> PAGEREF _Toc207870696 \h </w:instrText>
            </w:r>
            <w:r w:rsidRPr="00627DA0">
              <w:rPr>
                <w:webHidden/>
              </w:rPr>
            </w:r>
            <w:r w:rsidRPr="00627DA0">
              <w:rPr>
                <w:webHidden/>
              </w:rPr>
              <w:fldChar w:fldCharType="separate"/>
            </w:r>
            <w:r w:rsidRPr="00627DA0">
              <w:rPr>
                <w:webHidden/>
              </w:rPr>
              <w:t>47</w:t>
            </w:r>
            <w:r w:rsidRPr="00627DA0">
              <w:rPr>
                <w:webHidden/>
              </w:rPr>
              <w:fldChar w:fldCharType="end"/>
            </w:r>
          </w:hyperlink>
        </w:p>
        <w:p w14:paraId="7CF69C8C" w14:textId="2CBA91B7"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97" w:history="1">
            <w:r w:rsidRPr="00627DA0">
              <w:rPr>
                <w:rStyle w:val="Hyperlink"/>
              </w:rPr>
              <w:t>Appendix VI: Cost-Effective Energy Efficiency Potential by End Use</w:t>
            </w:r>
            <w:r w:rsidRPr="00627DA0">
              <w:rPr>
                <w:webHidden/>
              </w:rPr>
              <w:tab/>
            </w:r>
            <w:r w:rsidRPr="00627DA0">
              <w:rPr>
                <w:webHidden/>
              </w:rPr>
              <w:fldChar w:fldCharType="begin"/>
            </w:r>
            <w:r w:rsidRPr="00627DA0">
              <w:rPr>
                <w:webHidden/>
              </w:rPr>
              <w:instrText xml:space="preserve"> PAGEREF _Toc207870697 \h </w:instrText>
            </w:r>
            <w:r w:rsidRPr="00627DA0">
              <w:rPr>
                <w:webHidden/>
              </w:rPr>
            </w:r>
            <w:r w:rsidRPr="00627DA0">
              <w:rPr>
                <w:webHidden/>
              </w:rPr>
              <w:fldChar w:fldCharType="separate"/>
            </w:r>
            <w:r w:rsidRPr="00627DA0">
              <w:rPr>
                <w:webHidden/>
              </w:rPr>
              <w:t>52</w:t>
            </w:r>
            <w:r w:rsidRPr="00627DA0">
              <w:rPr>
                <w:webHidden/>
              </w:rPr>
              <w:fldChar w:fldCharType="end"/>
            </w:r>
          </w:hyperlink>
        </w:p>
        <w:p w14:paraId="1BE0AAE3" w14:textId="7999BCA5" w:rsidR="00AA2C5B" w:rsidRPr="00627DA0" w:rsidRDefault="00AA2C5B">
          <w:pPr>
            <w:pStyle w:val="TOC1"/>
            <w:tabs>
              <w:tab w:val="right" w:leader="dot" w:pos="9350"/>
            </w:tabs>
            <w:rPr>
              <w:rFonts w:asciiTheme="minorHAnsi" w:eastAsiaTheme="minorEastAsia" w:hAnsiTheme="minorHAnsi"/>
              <w:kern w:val="2"/>
              <w:sz w:val="24"/>
              <w:szCs w:val="24"/>
              <w14:ligatures w14:val="standardContextual"/>
            </w:rPr>
          </w:pPr>
          <w:hyperlink w:anchor="_Toc207870698" w:history="1">
            <w:r w:rsidRPr="00627DA0">
              <w:rPr>
                <w:rStyle w:val="Hyperlink"/>
              </w:rPr>
              <w:t>Appendix VII: Ramp Rate Alignment Documentation</w:t>
            </w:r>
            <w:r w:rsidRPr="00627DA0">
              <w:rPr>
                <w:webHidden/>
              </w:rPr>
              <w:tab/>
            </w:r>
            <w:r w:rsidRPr="00627DA0">
              <w:rPr>
                <w:webHidden/>
              </w:rPr>
              <w:fldChar w:fldCharType="begin"/>
            </w:r>
            <w:r w:rsidRPr="00627DA0">
              <w:rPr>
                <w:webHidden/>
              </w:rPr>
              <w:instrText xml:space="preserve"> PAGEREF _Toc207870698 \h </w:instrText>
            </w:r>
            <w:r w:rsidRPr="00627DA0">
              <w:rPr>
                <w:webHidden/>
              </w:rPr>
            </w:r>
            <w:r w:rsidRPr="00627DA0">
              <w:rPr>
                <w:webHidden/>
              </w:rPr>
              <w:fldChar w:fldCharType="separate"/>
            </w:r>
            <w:r w:rsidRPr="00627DA0">
              <w:rPr>
                <w:webHidden/>
              </w:rPr>
              <w:t>54</w:t>
            </w:r>
            <w:r w:rsidRPr="00627DA0">
              <w:rPr>
                <w:webHidden/>
              </w:rPr>
              <w:fldChar w:fldCharType="end"/>
            </w:r>
          </w:hyperlink>
        </w:p>
        <w:p w14:paraId="15087C0B" w14:textId="4FBF7142" w:rsidR="00AA2C5B" w:rsidRPr="00627DA0" w:rsidRDefault="00AA2C5B">
          <w:pPr>
            <w:pStyle w:val="TOC2"/>
            <w:tabs>
              <w:tab w:val="right" w:leader="dot" w:pos="9350"/>
            </w:tabs>
            <w:rPr>
              <w:rFonts w:asciiTheme="minorHAnsi" w:eastAsiaTheme="minorEastAsia" w:hAnsiTheme="minorHAnsi"/>
              <w:kern w:val="2"/>
              <w:sz w:val="24"/>
              <w:szCs w:val="24"/>
              <w14:ligatures w14:val="standardContextual"/>
            </w:rPr>
          </w:pPr>
          <w:hyperlink w:anchor="_Toc207870699" w:history="1">
            <w:r w:rsidRPr="00627DA0">
              <w:rPr>
                <w:rStyle w:val="Hyperlink"/>
              </w:rPr>
              <w:t>Ramp Rate Alignment Process</w:t>
            </w:r>
            <w:r w:rsidRPr="00627DA0">
              <w:rPr>
                <w:webHidden/>
              </w:rPr>
              <w:tab/>
            </w:r>
            <w:r w:rsidRPr="00627DA0">
              <w:rPr>
                <w:webHidden/>
              </w:rPr>
              <w:fldChar w:fldCharType="begin"/>
            </w:r>
            <w:r w:rsidRPr="00627DA0">
              <w:rPr>
                <w:webHidden/>
              </w:rPr>
              <w:instrText xml:space="preserve"> PAGEREF _Toc207870699 \h </w:instrText>
            </w:r>
            <w:r w:rsidRPr="00627DA0">
              <w:rPr>
                <w:webHidden/>
              </w:rPr>
            </w:r>
            <w:r w:rsidRPr="00627DA0">
              <w:rPr>
                <w:webHidden/>
              </w:rPr>
              <w:fldChar w:fldCharType="separate"/>
            </w:r>
            <w:r w:rsidRPr="00627DA0">
              <w:rPr>
                <w:webHidden/>
              </w:rPr>
              <w:t>54</w:t>
            </w:r>
            <w:r w:rsidRPr="00627DA0">
              <w:rPr>
                <w:webHidden/>
              </w:rPr>
              <w:fldChar w:fldCharType="end"/>
            </w:r>
          </w:hyperlink>
        </w:p>
        <w:p w14:paraId="14F0698F" w14:textId="018B609B" w:rsidR="00237139" w:rsidRPr="00627DA0" w:rsidRDefault="00827C02" w:rsidP="0031685E">
          <w:pPr>
            <w:spacing w:after="0"/>
          </w:pPr>
          <w:r w:rsidRPr="00627DA0">
            <w:fldChar w:fldCharType="end"/>
          </w:r>
        </w:p>
      </w:sdtContent>
    </w:sdt>
    <w:p w14:paraId="7D5A1841" w14:textId="77777777" w:rsidR="00FF5F0B" w:rsidRPr="00627DA0" w:rsidRDefault="00FF5F0B" w:rsidP="009A2BFC"/>
    <w:p w14:paraId="0A188469" w14:textId="2E6FA43A" w:rsidR="00827C02" w:rsidRPr="00627DA0" w:rsidRDefault="00827C02">
      <w:r w:rsidRPr="00627DA0">
        <w:br w:type="page"/>
      </w:r>
    </w:p>
    <w:p w14:paraId="1BD3DD6A" w14:textId="6CA4089D" w:rsidR="009A2BFC" w:rsidRPr="00627DA0" w:rsidRDefault="00E81531" w:rsidP="00B722FA">
      <w:pPr>
        <w:pStyle w:val="Heading1"/>
      </w:pPr>
      <w:bookmarkStart w:id="2" w:name="_Toc61243766"/>
      <w:bookmarkStart w:id="3" w:name="_Toc207870647"/>
      <w:r w:rsidRPr="00627DA0">
        <w:lastRenderedPageBreak/>
        <w:t>List of Figures</w:t>
      </w:r>
      <w:bookmarkEnd w:id="2"/>
      <w:bookmarkEnd w:id="3"/>
    </w:p>
    <w:p w14:paraId="0C056211" w14:textId="036DB7DC" w:rsidR="00AA2C5B" w:rsidRPr="00627DA0" w:rsidRDefault="0090401C">
      <w:pPr>
        <w:pStyle w:val="TableofFigures"/>
        <w:tabs>
          <w:tab w:val="right" w:leader="dot" w:pos="9350"/>
        </w:tabs>
        <w:rPr>
          <w:rFonts w:asciiTheme="minorHAnsi" w:eastAsiaTheme="minorEastAsia" w:hAnsiTheme="minorHAnsi"/>
          <w:kern w:val="2"/>
          <w:sz w:val="24"/>
          <w:szCs w:val="24"/>
          <w14:ligatures w14:val="standardContextual"/>
        </w:rPr>
      </w:pPr>
      <w:r w:rsidRPr="00627DA0">
        <w:fldChar w:fldCharType="begin"/>
      </w:r>
      <w:r w:rsidRPr="00627DA0">
        <w:instrText xml:space="preserve"> TOC \h \z \c "Figure" </w:instrText>
      </w:r>
      <w:r w:rsidRPr="00627DA0">
        <w:fldChar w:fldCharType="separate"/>
      </w:r>
      <w:hyperlink w:anchor="_Toc207870700" w:history="1">
        <w:r w:rsidR="00AA2C5B" w:rsidRPr="00627DA0">
          <w:rPr>
            <w:rStyle w:val="Hyperlink"/>
          </w:rPr>
          <w:t>Figure 1: Historic Targets and Achievements (MWh)</w:t>
        </w:r>
        <w:r w:rsidR="00AA2C5B" w:rsidRPr="00627DA0">
          <w:rPr>
            <w:webHidden/>
          </w:rPr>
          <w:tab/>
        </w:r>
        <w:r w:rsidR="00AA2C5B" w:rsidRPr="00627DA0">
          <w:rPr>
            <w:webHidden/>
          </w:rPr>
          <w:fldChar w:fldCharType="begin"/>
        </w:r>
        <w:r w:rsidR="00AA2C5B" w:rsidRPr="00627DA0">
          <w:rPr>
            <w:webHidden/>
          </w:rPr>
          <w:instrText xml:space="preserve"> PAGEREF _Toc207870700 \h </w:instrText>
        </w:r>
        <w:r w:rsidR="00AA2C5B" w:rsidRPr="00627DA0">
          <w:rPr>
            <w:webHidden/>
          </w:rPr>
        </w:r>
        <w:r w:rsidR="00AA2C5B" w:rsidRPr="00627DA0">
          <w:rPr>
            <w:webHidden/>
          </w:rPr>
          <w:fldChar w:fldCharType="separate"/>
        </w:r>
        <w:r w:rsidR="00AA2C5B" w:rsidRPr="00627DA0">
          <w:rPr>
            <w:webHidden/>
          </w:rPr>
          <w:t>1</w:t>
        </w:r>
        <w:r w:rsidR="00AA2C5B" w:rsidRPr="00627DA0">
          <w:rPr>
            <w:webHidden/>
          </w:rPr>
          <w:fldChar w:fldCharType="end"/>
        </w:r>
      </w:hyperlink>
    </w:p>
    <w:p w14:paraId="458FDBC0" w14:textId="7EEA21F9"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1" w:history="1">
        <w:r w:rsidRPr="00627DA0">
          <w:rPr>
            <w:rStyle w:val="Hyperlink"/>
          </w:rPr>
          <w:t>Figure 2: Cost-Effective Potential by Sector (MWh)</w:t>
        </w:r>
        <w:r w:rsidRPr="00627DA0">
          <w:rPr>
            <w:webHidden/>
          </w:rPr>
          <w:tab/>
        </w:r>
        <w:r w:rsidRPr="00627DA0">
          <w:rPr>
            <w:webHidden/>
          </w:rPr>
          <w:fldChar w:fldCharType="begin"/>
        </w:r>
        <w:r w:rsidRPr="00627DA0">
          <w:rPr>
            <w:webHidden/>
          </w:rPr>
          <w:instrText xml:space="preserve"> PAGEREF _Toc207870701 \h </w:instrText>
        </w:r>
        <w:r w:rsidRPr="00627DA0">
          <w:rPr>
            <w:webHidden/>
          </w:rPr>
        </w:r>
        <w:r w:rsidRPr="00627DA0">
          <w:rPr>
            <w:webHidden/>
          </w:rPr>
          <w:fldChar w:fldCharType="separate"/>
        </w:r>
        <w:r w:rsidRPr="00627DA0">
          <w:rPr>
            <w:webHidden/>
          </w:rPr>
          <w:t>3</w:t>
        </w:r>
        <w:r w:rsidRPr="00627DA0">
          <w:rPr>
            <w:webHidden/>
          </w:rPr>
          <w:fldChar w:fldCharType="end"/>
        </w:r>
      </w:hyperlink>
    </w:p>
    <w:p w14:paraId="3AEE29B8" w14:textId="11774586"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2" w:history="1">
        <w:r w:rsidRPr="00627DA0">
          <w:rPr>
            <w:rStyle w:val="Hyperlink"/>
          </w:rPr>
          <w:t>Figure 3: Annual Incremental Cost-Effective Energy Efficiency Potential (MWh)</w:t>
        </w:r>
        <w:r w:rsidRPr="00627DA0">
          <w:rPr>
            <w:webHidden/>
          </w:rPr>
          <w:tab/>
        </w:r>
        <w:r w:rsidRPr="00627DA0">
          <w:rPr>
            <w:webHidden/>
          </w:rPr>
          <w:fldChar w:fldCharType="begin"/>
        </w:r>
        <w:r w:rsidRPr="00627DA0">
          <w:rPr>
            <w:webHidden/>
          </w:rPr>
          <w:instrText xml:space="preserve"> PAGEREF _Toc207870702 \h </w:instrText>
        </w:r>
        <w:r w:rsidRPr="00627DA0">
          <w:rPr>
            <w:webHidden/>
          </w:rPr>
        </w:r>
        <w:r w:rsidRPr="00627DA0">
          <w:rPr>
            <w:webHidden/>
          </w:rPr>
          <w:fldChar w:fldCharType="separate"/>
        </w:r>
        <w:r w:rsidRPr="00627DA0">
          <w:rPr>
            <w:webHidden/>
          </w:rPr>
          <w:t>4</w:t>
        </w:r>
        <w:r w:rsidRPr="00627DA0">
          <w:rPr>
            <w:webHidden/>
          </w:rPr>
          <w:fldChar w:fldCharType="end"/>
        </w:r>
      </w:hyperlink>
    </w:p>
    <w:p w14:paraId="5DC350EF" w14:textId="1701BA03"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3" w:history="1">
        <w:r w:rsidRPr="00627DA0">
          <w:rPr>
            <w:rStyle w:val="Hyperlink"/>
          </w:rPr>
          <w:t>Figure 4: Annual Cumulative Cost-Effective Energy Efficiency Potential (MWh)</w:t>
        </w:r>
        <w:r w:rsidRPr="00627DA0">
          <w:rPr>
            <w:webHidden/>
          </w:rPr>
          <w:tab/>
        </w:r>
        <w:r w:rsidRPr="00627DA0">
          <w:rPr>
            <w:webHidden/>
          </w:rPr>
          <w:fldChar w:fldCharType="begin"/>
        </w:r>
        <w:r w:rsidRPr="00627DA0">
          <w:rPr>
            <w:webHidden/>
          </w:rPr>
          <w:instrText xml:space="preserve"> PAGEREF _Toc207870703 \h </w:instrText>
        </w:r>
        <w:r w:rsidRPr="00627DA0">
          <w:rPr>
            <w:webHidden/>
          </w:rPr>
        </w:r>
        <w:r w:rsidRPr="00627DA0">
          <w:rPr>
            <w:webHidden/>
          </w:rPr>
          <w:fldChar w:fldCharType="separate"/>
        </w:r>
        <w:r w:rsidRPr="00627DA0">
          <w:rPr>
            <w:webHidden/>
          </w:rPr>
          <w:t>5</w:t>
        </w:r>
        <w:r w:rsidRPr="00627DA0">
          <w:rPr>
            <w:webHidden/>
          </w:rPr>
          <w:fldChar w:fldCharType="end"/>
        </w:r>
      </w:hyperlink>
    </w:p>
    <w:p w14:paraId="2904B98B" w14:textId="7FDB5D1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4" w:history="1">
        <w:r w:rsidRPr="00627DA0">
          <w:rPr>
            <w:rStyle w:val="Hyperlink"/>
          </w:rPr>
          <w:t>Figure 5: Conservation Potential Assessment Methodology</w:t>
        </w:r>
        <w:r w:rsidRPr="00627DA0">
          <w:rPr>
            <w:webHidden/>
          </w:rPr>
          <w:tab/>
        </w:r>
        <w:r w:rsidRPr="00627DA0">
          <w:rPr>
            <w:webHidden/>
          </w:rPr>
          <w:fldChar w:fldCharType="begin"/>
        </w:r>
        <w:r w:rsidRPr="00627DA0">
          <w:rPr>
            <w:webHidden/>
          </w:rPr>
          <w:instrText xml:space="preserve"> PAGEREF _Toc207870704 \h </w:instrText>
        </w:r>
        <w:r w:rsidRPr="00627DA0">
          <w:rPr>
            <w:webHidden/>
          </w:rPr>
        </w:r>
        <w:r w:rsidRPr="00627DA0">
          <w:rPr>
            <w:webHidden/>
          </w:rPr>
          <w:fldChar w:fldCharType="separate"/>
        </w:r>
        <w:r w:rsidRPr="00627DA0">
          <w:rPr>
            <w:webHidden/>
          </w:rPr>
          <w:t>9</w:t>
        </w:r>
        <w:r w:rsidRPr="00627DA0">
          <w:rPr>
            <w:webHidden/>
          </w:rPr>
          <w:fldChar w:fldCharType="end"/>
        </w:r>
      </w:hyperlink>
    </w:p>
    <w:p w14:paraId="354EBF5F" w14:textId="2C03A9DD"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5" w:history="1">
        <w:r w:rsidRPr="00627DA0">
          <w:rPr>
            <w:rStyle w:val="Hyperlink"/>
          </w:rPr>
          <w:t>Figure 6: Avoided Energy Costs</w:t>
        </w:r>
        <w:r w:rsidRPr="00627DA0">
          <w:rPr>
            <w:webHidden/>
          </w:rPr>
          <w:tab/>
        </w:r>
        <w:r w:rsidRPr="00627DA0">
          <w:rPr>
            <w:webHidden/>
          </w:rPr>
          <w:fldChar w:fldCharType="begin"/>
        </w:r>
        <w:r w:rsidRPr="00627DA0">
          <w:rPr>
            <w:webHidden/>
          </w:rPr>
          <w:instrText xml:space="preserve"> PAGEREF _Toc207870705 \h </w:instrText>
        </w:r>
        <w:r w:rsidRPr="00627DA0">
          <w:rPr>
            <w:webHidden/>
          </w:rPr>
        </w:r>
        <w:r w:rsidRPr="00627DA0">
          <w:rPr>
            <w:webHidden/>
          </w:rPr>
          <w:fldChar w:fldCharType="separate"/>
        </w:r>
        <w:r w:rsidRPr="00627DA0">
          <w:rPr>
            <w:webHidden/>
          </w:rPr>
          <w:t>10</w:t>
        </w:r>
        <w:r w:rsidRPr="00627DA0">
          <w:rPr>
            <w:webHidden/>
          </w:rPr>
          <w:fldChar w:fldCharType="end"/>
        </w:r>
      </w:hyperlink>
    </w:p>
    <w:p w14:paraId="291069FE" w14:textId="25595BE5"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6" w:history="1">
        <w:r w:rsidRPr="00627DA0">
          <w:rPr>
            <w:rStyle w:val="Hyperlink"/>
          </w:rPr>
          <w:t>Figure 7: Types of Energy Efficiency Potential</w:t>
        </w:r>
        <w:r w:rsidRPr="00627DA0">
          <w:rPr>
            <w:webHidden/>
          </w:rPr>
          <w:tab/>
        </w:r>
        <w:r w:rsidRPr="00627DA0">
          <w:rPr>
            <w:webHidden/>
          </w:rPr>
          <w:fldChar w:fldCharType="begin"/>
        </w:r>
        <w:r w:rsidRPr="00627DA0">
          <w:rPr>
            <w:webHidden/>
          </w:rPr>
          <w:instrText xml:space="preserve"> PAGEREF _Toc207870706 \h </w:instrText>
        </w:r>
        <w:r w:rsidRPr="00627DA0">
          <w:rPr>
            <w:webHidden/>
          </w:rPr>
        </w:r>
        <w:r w:rsidRPr="00627DA0">
          <w:rPr>
            <w:webHidden/>
          </w:rPr>
          <w:fldChar w:fldCharType="separate"/>
        </w:r>
        <w:r w:rsidRPr="00627DA0">
          <w:rPr>
            <w:webHidden/>
          </w:rPr>
          <w:t>13</w:t>
        </w:r>
        <w:r w:rsidRPr="00627DA0">
          <w:rPr>
            <w:webHidden/>
          </w:rPr>
          <w:fldChar w:fldCharType="end"/>
        </w:r>
      </w:hyperlink>
    </w:p>
    <w:p w14:paraId="75BEFDE0" w14:textId="2B7FBB5D"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7" w:history="1">
        <w:r w:rsidRPr="00627DA0">
          <w:rPr>
            <w:rStyle w:val="Hyperlink"/>
          </w:rPr>
          <w:t>Figure 8: Past Conservation Achievements by Sector (MWh)</w:t>
        </w:r>
        <w:r w:rsidRPr="00627DA0">
          <w:rPr>
            <w:webHidden/>
          </w:rPr>
          <w:tab/>
        </w:r>
        <w:r w:rsidRPr="00627DA0">
          <w:rPr>
            <w:webHidden/>
          </w:rPr>
          <w:fldChar w:fldCharType="begin"/>
        </w:r>
        <w:r w:rsidRPr="00627DA0">
          <w:rPr>
            <w:webHidden/>
          </w:rPr>
          <w:instrText xml:space="preserve"> PAGEREF _Toc207870707 \h </w:instrText>
        </w:r>
        <w:r w:rsidRPr="00627DA0">
          <w:rPr>
            <w:webHidden/>
          </w:rPr>
        </w:r>
        <w:r w:rsidRPr="00627DA0">
          <w:rPr>
            <w:webHidden/>
          </w:rPr>
          <w:fldChar w:fldCharType="separate"/>
        </w:r>
        <w:r w:rsidRPr="00627DA0">
          <w:rPr>
            <w:webHidden/>
          </w:rPr>
          <w:t>18</w:t>
        </w:r>
        <w:r w:rsidRPr="00627DA0">
          <w:rPr>
            <w:webHidden/>
          </w:rPr>
          <w:fldChar w:fldCharType="end"/>
        </w:r>
      </w:hyperlink>
    </w:p>
    <w:p w14:paraId="3B1E7AF4" w14:textId="66DAE61F"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8" w:history="1">
        <w:r w:rsidRPr="00627DA0">
          <w:rPr>
            <w:rStyle w:val="Hyperlink"/>
          </w:rPr>
          <w:t>Figure 9: Recent Residential Program Achievements by End Use (MWh)</w:t>
        </w:r>
        <w:r w:rsidRPr="00627DA0">
          <w:rPr>
            <w:webHidden/>
          </w:rPr>
          <w:tab/>
        </w:r>
        <w:r w:rsidRPr="00627DA0">
          <w:rPr>
            <w:webHidden/>
          </w:rPr>
          <w:fldChar w:fldCharType="begin"/>
        </w:r>
        <w:r w:rsidRPr="00627DA0">
          <w:rPr>
            <w:webHidden/>
          </w:rPr>
          <w:instrText xml:space="preserve"> PAGEREF _Toc207870708 \h </w:instrText>
        </w:r>
        <w:r w:rsidRPr="00627DA0">
          <w:rPr>
            <w:webHidden/>
          </w:rPr>
        </w:r>
        <w:r w:rsidRPr="00627DA0">
          <w:rPr>
            <w:webHidden/>
          </w:rPr>
          <w:fldChar w:fldCharType="separate"/>
        </w:r>
        <w:r w:rsidRPr="00627DA0">
          <w:rPr>
            <w:webHidden/>
          </w:rPr>
          <w:t>19</w:t>
        </w:r>
        <w:r w:rsidRPr="00627DA0">
          <w:rPr>
            <w:webHidden/>
          </w:rPr>
          <w:fldChar w:fldCharType="end"/>
        </w:r>
      </w:hyperlink>
    </w:p>
    <w:p w14:paraId="1B5FB0CB" w14:textId="063F3314"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09" w:history="1">
        <w:r w:rsidRPr="00627DA0">
          <w:rPr>
            <w:rStyle w:val="Hyperlink"/>
          </w:rPr>
          <w:t>Figure 10: Recent Commercial Program Achievements by End Use</w:t>
        </w:r>
        <w:r w:rsidRPr="00627DA0">
          <w:rPr>
            <w:webHidden/>
          </w:rPr>
          <w:tab/>
        </w:r>
        <w:r w:rsidRPr="00627DA0">
          <w:rPr>
            <w:webHidden/>
          </w:rPr>
          <w:fldChar w:fldCharType="begin"/>
        </w:r>
        <w:r w:rsidRPr="00627DA0">
          <w:rPr>
            <w:webHidden/>
          </w:rPr>
          <w:instrText xml:space="preserve"> PAGEREF _Toc207870709 \h </w:instrText>
        </w:r>
        <w:r w:rsidRPr="00627DA0">
          <w:rPr>
            <w:webHidden/>
          </w:rPr>
        </w:r>
        <w:r w:rsidRPr="00627DA0">
          <w:rPr>
            <w:webHidden/>
          </w:rPr>
          <w:fldChar w:fldCharType="separate"/>
        </w:r>
        <w:r w:rsidRPr="00627DA0">
          <w:rPr>
            <w:webHidden/>
          </w:rPr>
          <w:t>19</w:t>
        </w:r>
        <w:r w:rsidRPr="00627DA0">
          <w:rPr>
            <w:webHidden/>
          </w:rPr>
          <w:fldChar w:fldCharType="end"/>
        </w:r>
      </w:hyperlink>
    </w:p>
    <w:p w14:paraId="410E2088" w14:textId="63386C8E"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0" w:history="1">
        <w:r w:rsidRPr="00627DA0">
          <w:rPr>
            <w:rStyle w:val="Hyperlink"/>
          </w:rPr>
          <w:t>Figure 11: Recent Industrial Program Achievements by End Use</w:t>
        </w:r>
        <w:r w:rsidRPr="00627DA0">
          <w:rPr>
            <w:webHidden/>
          </w:rPr>
          <w:tab/>
        </w:r>
        <w:r w:rsidRPr="00627DA0">
          <w:rPr>
            <w:webHidden/>
          </w:rPr>
          <w:fldChar w:fldCharType="begin"/>
        </w:r>
        <w:r w:rsidRPr="00627DA0">
          <w:rPr>
            <w:webHidden/>
          </w:rPr>
          <w:instrText xml:space="preserve"> PAGEREF _Toc207870710 \h </w:instrText>
        </w:r>
        <w:r w:rsidRPr="00627DA0">
          <w:rPr>
            <w:webHidden/>
          </w:rPr>
        </w:r>
        <w:r w:rsidRPr="00627DA0">
          <w:rPr>
            <w:webHidden/>
          </w:rPr>
          <w:fldChar w:fldCharType="separate"/>
        </w:r>
        <w:r w:rsidRPr="00627DA0">
          <w:rPr>
            <w:webHidden/>
          </w:rPr>
          <w:t>20</w:t>
        </w:r>
        <w:r w:rsidRPr="00627DA0">
          <w:rPr>
            <w:webHidden/>
          </w:rPr>
          <w:fldChar w:fldCharType="end"/>
        </w:r>
      </w:hyperlink>
    </w:p>
    <w:p w14:paraId="5602D181" w14:textId="2AF62A52"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1" w:history="1">
        <w:r w:rsidRPr="00627DA0">
          <w:rPr>
            <w:rStyle w:val="Hyperlink"/>
          </w:rPr>
          <w:t>Figure 12: Recent Agricultural Program Achievements by End Use</w:t>
        </w:r>
        <w:r w:rsidRPr="00627DA0">
          <w:rPr>
            <w:webHidden/>
          </w:rPr>
          <w:tab/>
        </w:r>
        <w:r w:rsidRPr="00627DA0">
          <w:rPr>
            <w:webHidden/>
          </w:rPr>
          <w:fldChar w:fldCharType="begin"/>
        </w:r>
        <w:r w:rsidRPr="00627DA0">
          <w:rPr>
            <w:webHidden/>
          </w:rPr>
          <w:instrText xml:space="preserve"> PAGEREF _Toc207870711 \h </w:instrText>
        </w:r>
        <w:r w:rsidRPr="00627DA0">
          <w:rPr>
            <w:webHidden/>
          </w:rPr>
        </w:r>
        <w:r w:rsidRPr="00627DA0">
          <w:rPr>
            <w:webHidden/>
          </w:rPr>
          <w:fldChar w:fldCharType="separate"/>
        </w:r>
        <w:r w:rsidRPr="00627DA0">
          <w:rPr>
            <w:webHidden/>
          </w:rPr>
          <w:t>20</w:t>
        </w:r>
        <w:r w:rsidRPr="00627DA0">
          <w:rPr>
            <w:webHidden/>
          </w:rPr>
          <w:fldChar w:fldCharType="end"/>
        </w:r>
      </w:hyperlink>
    </w:p>
    <w:p w14:paraId="452C225F" w14:textId="7D06A00E"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2" w:history="1">
        <w:r w:rsidRPr="00627DA0">
          <w:rPr>
            <w:rStyle w:val="Hyperlink"/>
          </w:rPr>
          <w:t>Figure 13: 20-Year Supply Curve</w:t>
        </w:r>
        <w:r w:rsidRPr="00627DA0">
          <w:rPr>
            <w:webHidden/>
          </w:rPr>
          <w:tab/>
        </w:r>
        <w:r w:rsidRPr="00627DA0">
          <w:rPr>
            <w:webHidden/>
          </w:rPr>
          <w:fldChar w:fldCharType="begin"/>
        </w:r>
        <w:r w:rsidRPr="00627DA0">
          <w:rPr>
            <w:webHidden/>
          </w:rPr>
          <w:instrText xml:space="preserve"> PAGEREF _Toc207870712 \h </w:instrText>
        </w:r>
        <w:r w:rsidRPr="00627DA0">
          <w:rPr>
            <w:webHidden/>
          </w:rPr>
        </w:r>
        <w:r w:rsidRPr="00627DA0">
          <w:rPr>
            <w:webHidden/>
          </w:rPr>
          <w:fldChar w:fldCharType="separate"/>
        </w:r>
        <w:r w:rsidRPr="00627DA0">
          <w:rPr>
            <w:webHidden/>
          </w:rPr>
          <w:t>21</w:t>
        </w:r>
        <w:r w:rsidRPr="00627DA0">
          <w:rPr>
            <w:webHidden/>
          </w:rPr>
          <w:fldChar w:fldCharType="end"/>
        </w:r>
      </w:hyperlink>
    </w:p>
    <w:p w14:paraId="492F6E8D" w14:textId="183984B0"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3" w:history="1">
        <w:r w:rsidRPr="00627DA0">
          <w:rPr>
            <w:rStyle w:val="Hyperlink"/>
          </w:rPr>
          <w:t>Figure 14: 20-Year Benefit-Cost Ratio Supply Curve</w:t>
        </w:r>
        <w:r w:rsidRPr="00627DA0">
          <w:rPr>
            <w:webHidden/>
          </w:rPr>
          <w:tab/>
        </w:r>
        <w:r w:rsidRPr="00627DA0">
          <w:rPr>
            <w:webHidden/>
          </w:rPr>
          <w:fldChar w:fldCharType="begin"/>
        </w:r>
        <w:r w:rsidRPr="00627DA0">
          <w:rPr>
            <w:webHidden/>
          </w:rPr>
          <w:instrText xml:space="preserve"> PAGEREF _Toc207870713 \h </w:instrText>
        </w:r>
        <w:r w:rsidRPr="00627DA0">
          <w:rPr>
            <w:webHidden/>
          </w:rPr>
        </w:r>
        <w:r w:rsidRPr="00627DA0">
          <w:rPr>
            <w:webHidden/>
          </w:rPr>
          <w:fldChar w:fldCharType="separate"/>
        </w:r>
        <w:r w:rsidRPr="00627DA0">
          <w:rPr>
            <w:webHidden/>
          </w:rPr>
          <w:t>22</w:t>
        </w:r>
        <w:r w:rsidRPr="00627DA0">
          <w:rPr>
            <w:webHidden/>
          </w:rPr>
          <w:fldChar w:fldCharType="end"/>
        </w:r>
      </w:hyperlink>
    </w:p>
    <w:p w14:paraId="3BB10179" w14:textId="40410DB4"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4" w:history="1">
        <w:r w:rsidRPr="00627DA0">
          <w:rPr>
            <w:rStyle w:val="Hyperlink"/>
          </w:rPr>
          <w:t>Figure 15: Annual Cost-Effective Potential by Sector</w:t>
        </w:r>
        <w:r w:rsidRPr="00627DA0">
          <w:rPr>
            <w:webHidden/>
          </w:rPr>
          <w:tab/>
        </w:r>
        <w:r w:rsidRPr="00627DA0">
          <w:rPr>
            <w:webHidden/>
          </w:rPr>
          <w:fldChar w:fldCharType="begin"/>
        </w:r>
        <w:r w:rsidRPr="00627DA0">
          <w:rPr>
            <w:webHidden/>
          </w:rPr>
          <w:instrText xml:space="preserve"> PAGEREF _Toc207870714 \h </w:instrText>
        </w:r>
        <w:r w:rsidRPr="00627DA0">
          <w:rPr>
            <w:webHidden/>
          </w:rPr>
        </w:r>
        <w:r w:rsidRPr="00627DA0">
          <w:rPr>
            <w:webHidden/>
          </w:rPr>
          <w:fldChar w:fldCharType="separate"/>
        </w:r>
        <w:r w:rsidRPr="00627DA0">
          <w:rPr>
            <w:webHidden/>
          </w:rPr>
          <w:t>22</w:t>
        </w:r>
        <w:r w:rsidRPr="00627DA0">
          <w:rPr>
            <w:webHidden/>
          </w:rPr>
          <w:fldChar w:fldCharType="end"/>
        </w:r>
      </w:hyperlink>
    </w:p>
    <w:p w14:paraId="1092482A" w14:textId="0F4EFC51"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5" w:history="1">
        <w:r w:rsidRPr="00627DA0">
          <w:rPr>
            <w:rStyle w:val="Hyperlink"/>
          </w:rPr>
          <w:t>Figure 16: Annual Residential Potential by End Use</w:t>
        </w:r>
        <w:r w:rsidRPr="00627DA0">
          <w:rPr>
            <w:webHidden/>
          </w:rPr>
          <w:tab/>
        </w:r>
        <w:r w:rsidRPr="00627DA0">
          <w:rPr>
            <w:webHidden/>
          </w:rPr>
          <w:fldChar w:fldCharType="begin"/>
        </w:r>
        <w:r w:rsidRPr="00627DA0">
          <w:rPr>
            <w:webHidden/>
          </w:rPr>
          <w:instrText xml:space="preserve"> PAGEREF _Toc207870715 \h </w:instrText>
        </w:r>
        <w:r w:rsidRPr="00627DA0">
          <w:rPr>
            <w:webHidden/>
          </w:rPr>
        </w:r>
        <w:r w:rsidRPr="00627DA0">
          <w:rPr>
            <w:webHidden/>
          </w:rPr>
          <w:fldChar w:fldCharType="separate"/>
        </w:r>
        <w:r w:rsidRPr="00627DA0">
          <w:rPr>
            <w:webHidden/>
          </w:rPr>
          <w:t>23</w:t>
        </w:r>
        <w:r w:rsidRPr="00627DA0">
          <w:rPr>
            <w:webHidden/>
          </w:rPr>
          <w:fldChar w:fldCharType="end"/>
        </w:r>
      </w:hyperlink>
    </w:p>
    <w:p w14:paraId="56E7387E" w14:textId="7A375E8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6" w:history="1">
        <w:r w:rsidRPr="00627DA0">
          <w:rPr>
            <w:rStyle w:val="Hyperlink"/>
          </w:rPr>
          <w:t>Figure 17: Residential Potential by End Use and Measure Category</w:t>
        </w:r>
        <w:r w:rsidRPr="00627DA0">
          <w:rPr>
            <w:webHidden/>
          </w:rPr>
          <w:tab/>
        </w:r>
        <w:r w:rsidRPr="00627DA0">
          <w:rPr>
            <w:webHidden/>
          </w:rPr>
          <w:fldChar w:fldCharType="begin"/>
        </w:r>
        <w:r w:rsidRPr="00627DA0">
          <w:rPr>
            <w:webHidden/>
          </w:rPr>
          <w:instrText xml:space="preserve"> PAGEREF _Toc207870716 \h </w:instrText>
        </w:r>
        <w:r w:rsidRPr="00627DA0">
          <w:rPr>
            <w:webHidden/>
          </w:rPr>
        </w:r>
        <w:r w:rsidRPr="00627DA0">
          <w:rPr>
            <w:webHidden/>
          </w:rPr>
          <w:fldChar w:fldCharType="separate"/>
        </w:r>
        <w:r w:rsidRPr="00627DA0">
          <w:rPr>
            <w:webHidden/>
          </w:rPr>
          <w:t>24</w:t>
        </w:r>
        <w:r w:rsidRPr="00627DA0">
          <w:rPr>
            <w:webHidden/>
          </w:rPr>
          <w:fldChar w:fldCharType="end"/>
        </w:r>
      </w:hyperlink>
    </w:p>
    <w:p w14:paraId="7F6F0D51" w14:textId="6A87E156"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7" w:history="1">
        <w:r w:rsidRPr="00627DA0">
          <w:rPr>
            <w:rStyle w:val="Hyperlink"/>
          </w:rPr>
          <w:t>Figure 18: Annual Commercial Potential by End Use</w:t>
        </w:r>
        <w:r w:rsidRPr="00627DA0">
          <w:rPr>
            <w:webHidden/>
          </w:rPr>
          <w:tab/>
        </w:r>
        <w:r w:rsidRPr="00627DA0">
          <w:rPr>
            <w:webHidden/>
          </w:rPr>
          <w:fldChar w:fldCharType="begin"/>
        </w:r>
        <w:r w:rsidRPr="00627DA0">
          <w:rPr>
            <w:webHidden/>
          </w:rPr>
          <w:instrText xml:space="preserve"> PAGEREF _Toc207870717 \h </w:instrText>
        </w:r>
        <w:r w:rsidRPr="00627DA0">
          <w:rPr>
            <w:webHidden/>
          </w:rPr>
        </w:r>
        <w:r w:rsidRPr="00627DA0">
          <w:rPr>
            <w:webHidden/>
          </w:rPr>
          <w:fldChar w:fldCharType="separate"/>
        </w:r>
        <w:r w:rsidRPr="00627DA0">
          <w:rPr>
            <w:webHidden/>
          </w:rPr>
          <w:t>25</w:t>
        </w:r>
        <w:r w:rsidRPr="00627DA0">
          <w:rPr>
            <w:webHidden/>
          </w:rPr>
          <w:fldChar w:fldCharType="end"/>
        </w:r>
      </w:hyperlink>
    </w:p>
    <w:p w14:paraId="625ECA92" w14:textId="1E353BE9"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8" w:history="1">
        <w:r w:rsidRPr="00627DA0">
          <w:rPr>
            <w:rStyle w:val="Hyperlink"/>
          </w:rPr>
          <w:t>Figure 19: Commercial Potential by End Use and Measure Category</w:t>
        </w:r>
        <w:r w:rsidRPr="00627DA0">
          <w:rPr>
            <w:webHidden/>
          </w:rPr>
          <w:tab/>
        </w:r>
        <w:r w:rsidRPr="00627DA0">
          <w:rPr>
            <w:webHidden/>
          </w:rPr>
          <w:fldChar w:fldCharType="begin"/>
        </w:r>
        <w:r w:rsidRPr="00627DA0">
          <w:rPr>
            <w:webHidden/>
          </w:rPr>
          <w:instrText xml:space="preserve"> PAGEREF _Toc207870718 \h </w:instrText>
        </w:r>
        <w:r w:rsidRPr="00627DA0">
          <w:rPr>
            <w:webHidden/>
          </w:rPr>
        </w:r>
        <w:r w:rsidRPr="00627DA0">
          <w:rPr>
            <w:webHidden/>
          </w:rPr>
          <w:fldChar w:fldCharType="separate"/>
        </w:r>
        <w:r w:rsidRPr="00627DA0">
          <w:rPr>
            <w:webHidden/>
          </w:rPr>
          <w:t>25</w:t>
        </w:r>
        <w:r w:rsidRPr="00627DA0">
          <w:rPr>
            <w:webHidden/>
          </w:rPr>
          <w:fldChar w:fldCharType="end"/>
        </w:r>
      </w:hyperlink>
    </w:p>
    <w:p w14:paraId="698E1D7A" w14:textId="17CFDD0E"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19" w:history="1">
        <w:r w:rsidRPr="00627DA0">
          <w:rPr>
            <w:rStyle w:val="Hyperlink"/>
          </w:rPr>
          <w:t>Figure 20: Annual Industrial Potential by End Use</w:t>
        </w:r>
        <w:r w:rsidRPr="00627DA0">
          <w:rPr>
            <w:webHidden/>
          </w:rPr>
          <w:tab/>
        </w:r>
        <w:r w:rsidRPr="00627DA0">
          <w:rPr>
            <w:webHidden/>
          </w:rPr>
          <w:fldChar w:fldCharType="begin"/>
        </w:r>
        <w:r w:rsidRPr="00627DA0">
          <w:rPr>
            <w:webHidden/>
          </w:rPr>
          <w:instrText xml:space="preserve"> PAGEREF _Toc207870719 \h </w:instrText>
        </w:r>
        <w:r w:rsidRPr="00627DA0">
          <w:rPr>
            <w:webHidden/>
          </w:rPr>
        </w:r>
        <w:r w:rsidRPr="00627DA0">
          <w:rPr>
            <w:webHidden/>
          </w:rPr>
          <w:fldChar w:fldCharType="separate"/>
        </w:r>
        <w:r w:rsidRPr="00627DA0">
          <w:rPr>
            <w:webHidden/>
          </w:rPr>
          <w:t>26</w:t>
        </w:r>
        <w:r w:rsidRPr="00627DA0">
          <w:rPr>
            <w:webHidden/>
          </w:rPr>
          <w:fldChar w:fldCharType="end"/>
        </w:r>
      </w:hyperlink>
    </w:p>
    <w:p w14:paraId="0C0DB461" w14:textId="2EE872D0"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0" w:history="1">
        <w:r w:rsidRPr="00627DA0">
          <w:rPr>
            <w:rStyle w:val="Hyperlink"/>
          </w:rPr>
          <w:t>Figure 21: Industrial Potential by End Use and Measure Category</w:t>
        </w:r>
        <w:r w:rsidRPr="00627DA0">
          <w:rPr>
            <w:webHidden/>
          </w:rPr>
          <w:tab/>
        </w:r>
        <w:r w:rsidRPr="00627DA0">
          <w:rPr>
            <w:webHidden/>
          </w:rPr>
          <w:fldChar w:fldCharType="begin"/>
        </w:r>
        <w:r w:rsidRPr="00627DA0">
          <w:rPr>
            <w:webHidden/>
          </w:rPr>
          <w:instrText xml:space="preserve"> PAGEREF _Toc207870720 \h </w:instrText>
        </w:r>
        <w:r w:rsidRPr="00627DA0">
          <w:rPr>
            <w:webHidden/>
          </w:rPr>
        </w:r>
        <w:r w:rsidRPr="00627DA0">
          <w:rPr>
            <w:webHidden/>
          </w:rPr>
          <w:fldChar w:fldCharType="separate"/>
        </w:r>
        <w:r w:rsidRPr="00627DA0">
          <w:rPr>
            <w:webHidden/>
          </w:rPr>
          <w:t>26</w:t>
        </w:r>
        <w:r w:rsidRPr="00627DA0">
          <w:rPr>
            <w:webHidden/>
          </w:rPr>
          <w:fldChar w:fldCharType="end"/>
        </w:r>
      </w:hyperlink>
    </w:p>
    <w:p w14:paraId="04CDA5AA" w14:textId="7D17070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1" w:history="1">
        <w:r w:rsidRPr="00627DA0">
          <w:rPr>
            <w:rStyle w:val="Hyperlink"/>
          </w:rPr>
          <w:t>Figure 22: Annual Distribution System Potential</w:t>
        </w:r>
        <w:r w:rsidRPr="00627DA0">
          <w:rPr>
            <w:webHidden/>
          </w:rPr>
          <w:tab/>
        </w:r>
        <w:r w:rsidRPr="00627DA0">
          <w:rPr>
            <w:webHidden/>
          </w:rPr>
          <w:fldChar w:fldCharType="begin"/>
        </w:r>
        <w:r w:rsidRPr="00627DA0">
          <w:rPr>
            <w:webHidden/>
          </w:rPr>
          <w:instrText xml:space="preserve"> PAGEREF _Toc207870721 \h </w:instrText>
        </w:r>
        <w:r w:rsidRPr="00627DA0">
          <w:rPr>
            <w:webHidden/>
          </w:rPr>
        </w:r>
        <w:r w:rsidRPr="00627DA0">
          <w:rPr>
            <w:webHidden/>
          </w:rPr>
          <w:fldChar w:fldCharType="separate"/>
        </w:r>
        <w:r w:rsidRPr="00627DA0">
          <w:rPr>
            <w:webHidden/>
          </w:rPr>
          <w:t>27</w:t>
        </w:r>
        <w:r w:rsidRPr="00627DA0">
          <w:rPr>
            <w:webHidden/>
          </w:rPr>
          <w:fldChar w:fldCharType="end"/>
        </w:r>
      </w:hyperlink>
    </w:p>
    <w:p w14:paraId="6059159D" w14:textId="085670CD"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2" w:history="1">
        <w:r w:rsidRPr="00627DA0">
          <w:rPr>
            <w:rStyle w:val="Hyperlink"/>
          </w:rPr>
          <w:t>Figure 23: Annual Agricultural Potential by End Use</w:t>
        </w:r>
        <w:r w:rsidRPr="00627DA0">
          <w:rPr>
            <w:webHidden/>
          </w:rPr>
          <w:tab/>
        </w:r>
        <w:r w:rsidRPr="00627DA0">
          <w:rPr>
            <w:webHidden/>
          </w:rPr>
          <w:fldChar w:fldCharType="begin"/>
        </w:r>
        <w:r w:rsidRPr="00627DA0">
          <w:rPr>
            <w:webHidden/>
          </w:rPr>
          <w:instrText xml:space="preserve"> PAGEREF _Toc207870722 \h </w:instrText>
        </w:r>
        <w:r w:rsidRPr="00627DA0">
          <w:rPr>
            <w:webHidden/>
          </w:rPr>
        </w:r>
        <w:r w:rsidRPr="00627DA0">
          <w:rPr>
            <w:webHidden/>
          </w:rPr>
          <w:fldChar w:fldCharType="separate"/>
        </w:r>
        <w:r w:rsidRPr="00627DA0">
          <w:rPr>
            <w:webHidden/>
          </w:rPr>
          <w:t>27</w:t>
        </w:r>
        <w:r w:rsidRPr="00627DA0">
          <w:rPr>
            <w:webHidden/>
          </w:rPr>
          <w:fldChar w:fldCharType="end"/>
        </w:r>
      </w:hyperlink>
    </w:p>
    <w:p w14:paraId="549F2457" w14:textId="58500BFC"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3" w:history="1">
        <w:r w:rsidRPr="00627DA0">
          <w:rPr>
            <w:rStyle w:val="Hyperlink"/>
          </w:rPr>
          <w:t>Figure 24: Agricultural Potential by End Use and Measure Category</w:t>
        </w:r>
        <w:r w:rsidRPr="00627DA0">
          <w:rPr>
            <w:webHidden/>
          </w:rPr>
          <w:tab/>
        </w:r>
        <w:r w:rsidRPr="00627DA0">
          <w:rPr>
            <w:webHidden/>
          </w:rPr>
          <w:fldChar w:fldCharType="begin"/>
        </w:r>
        <w:r w:rsidRPr="00627DA0">
          <w:rPr>
            <w:webHidden/>
          </w:rPr>
          <w:instrText xml:space="preserve"> PAGEREF _Toc207870723 \h </w:instrText>
        </w:r>
        <w:r w:rsidRPr="00627DA0">
          <w:rPr>
            <w:webHidden/>
          </w:rPr>
        </w:r>
        <w:r w:rsidRPr="00627DA0">
          <w:rPr>
            <w:webHidden/>
          </w:rPr>
          <w:fldChar w:fldCharType="separate"/>
        </w:r>
        <w:r w:rsidRPr="00627DA0">
          <w:rPr>
            <w:webHidden/>
          </w:rPr>
          <w:t>28</w:t>
        </w:r>
        <w:r w:rsidRPr="00627DA0">
          <w:rPr>
            <w:webHidden/>
          </w:rPr>
          <w:fldChar w:fldCharType="end"/>
        </w:r>
      </w:hyperlink>
    </w:p>
    <w:p w14:paraId="7842048E" w14:textId="22E9DD78"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4" w:history="1">
        <w:r w:rsidRPr="00627DA0">
          <w:rPr>
            <w:rStyle w:val="Hyperlink"/>
          </w:rPr>
          <w:t>Figure 25: Benchmarking of On-Peak Prices</w:t>
        </w:r>
        <w:r w:rsidRPr="00627DA0">
          <w:rPr>
            <w:webHidden/>
          </w:rPr>
          <w:tab/>
        </w:r>
        <w:r w:rsidRPr="00627DA0">
          <w:rPr>
            <w:webHidden/>
          </w:rPr>
          <w:fldChar w:fldCharType="begin"/>
        </w:r>
        <w:r w:rsidRPr="00627DA0">
          <w:rPr>
            <w:webHidden/>
          </w:rPr>
          <w:instrText xml:space="preserve"> PAGEREF _Toc207870724 \h </w:instrText>
        </w:r>
        <w:r w:rsidRPr="00627DA0">
          <w:rPr>
            <w:webHidden/>
          </w:rPr>
        </w:r>
        <w:r w:rsidRPr="00627DA0">
          <w:rPr>
            <w:webHidden/>
          </w:rPr>
          <w:fldChar w:fldCharType="separate"/>
        </w:r>
        <w:r w:rsidRPr="00627DA0">
          <w:rPr>
            <w:webHidden/>
          </w:rPr>
          <w:t>40</w:t>
        </w:r>
        <w:r w:rsidRPr="00627DA0">
          <w:rPr>
            <w:webHidden/>
          </w:rPr>
          <w:fldChar w:fldCharType="end"/>
        </w:r>
      </w:hyperlink>
    </w:p>
    <w:p w14:paraId="17B5AB75" w14:textId="78D6D21F"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5" w:history="1">
        <w:r w:rsidRPr="00627DA0">
          <w:rPr>
            <w:rStyle w:val="Hyperlink"/>
          </w:rPr>
          <w:t>Figure 26: Benchmarking of Off-Peak Prices</w:t>
        </w:r>
        <w:r w:rsidRPr="00627DA0">
          <w:rPr>
            <w:webHidden/>
          </w:rPr>
          <w:tab/>
        </w:r>
        <w:r w:rsidRPr="00627DA0">
          <w:rPr>
            <w:webHidden/>
          </w:rPr>
          <w:fldChar w:fldCharType="begin"/>
        </w:r>
        <w:r w:rsidRPr="00627DA0">
          <w:rPr>
            <w:webHidden/>
          </w:rPr>
          <w:instrText xml:space="preserve"> PAGEREF _Toc207870725 \h </w:instrText>
        </w:r>
        <w:r w:rsidRPr="00627DA0">
          <w:rPr>
            <w:webHidden/>
          </w:rPr>
        </w:r>
        <w:r w:rsidRPr="00627DA0">
          <w:rPr>
            <w:webHidden/>
          </w:rPr>
          <w:fldChar w:fldCharType="separate"/>
        </w:r>
        <w:r w:rsidRPr="00627DA0">
          <w:rPr>
            <w:webHidden/>
          </w:rPr>
          <w:t>40</w:t>
        </w:r>
        <w:r w:rsidRPr="00627DA0">
          <w:rPr>
            <w:webHidden/>
          </w:rPr>
          <w:fldChar w:fldCharType="end"/>
        </w:r>
      </w:hyperlink>
    </w:p>
    <w:p w14:paraId="2F7F6253" w14:textId="347B9F62"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6" w:history="1">
        <w:r w:rsidRPr="00627DA0">
          <w:rPr>
            <w:rStyle w:val="Hyperlink"/>
          </w:rPr>
          <w:t>Figure 27: On- and Off-Peak Price Forecast</w:t>
        </w:r>
        <w:r w:rsidRPr="00627DA0">
          <w:rPr>
            <w:webHidden/>
          </w:rPr>
          <w:tab/>
        </w:r>
        <w:r w:rsidRPr="00627DA0">
          <w:rPr>
            <w:webHidden/>
          </w:rPr>
          <w:fldChar w:fldCharType="begin"/>
        </w:r>
        <w:r w:rsidRPr="00627DA0">
          <w:rPr>
            <w:webHidden/>
          </w:rPr>
          <w:instrText xml:space="preserve"> PAGEREF _Toc207870726 \h </w:instrText>
        </w:r>
        <w:r w:rsidRPr="00627DA0">
          <w:rPr>
            <w:webHidden/>
          </w:rPr>
        </w:r>
        <w:r w:rsidRPr="00627DA0">
          <w:rPr>
            <w:webHidden/>
          </w:rPr>
          <w:fldChar w:fldCharType="separate"/>
        </w:r>
        <w:r w:rsidRPr="00627DA0">
          <w:rPr>
            <w:webHidden/>
          </w:rPr>
          <w:t>41</w:t>
        </w:r>
        <w:r w:rsidRPr="00627DA0">
          <w:rPr>
            <w:webHidden/>
          </w:rPr>
          <w:fldChar w:fldCharType="end"/>
        </w:r>
      </w:hyperlink>
    </w:p>
    <w:p w14:paraId="44EBD42E" w14:textId="22C2556D"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7" w:history="1">
        <w:r w:rsidRPr="00627DA0">
          <w:rPr>
            <w:rStyle w:val="Hyperlink"/>
          </w:rPr>
          <w:t>Figure 28: Comparison of On-Peak Price Sensitivities</w:t>
        </w:r>
        <w:r w:rsidRPr="00627DA0">
          <w:rPr>
            <w:webHidden/>
          </w:rPr>
          <w:tab/>
        </w:r>
        <w:r w:rsidRPr="00627DA0">
          <w:rPr>
            <w:webHidden/>
          </w:rPr>
          <w:fldChar w:fldCharType="begin"/>
        </w:r>
        <w:r w:rsidRPr="00627DA0">
          <w:rPr>
            <w:webHidden/>
          </w:rPr>
          <w:instrText xml:space="preserve"> PAGEREF _Toc207870727 \h </w:instrText>
        </w:r>
        <w:r w:rsidRPr="00627DA0">
          <w:rPr>
            <w:webHidden/>
          </w:rPr>
        </w:r>
        <w:r w:rsidRPr="00627DA0">
          <w:rPr>
            <w:webHidden/>
          </w:rPr>
          <w:fldChar w:fldCharType="separate"/>
        </w:r>
        <w:r w:rsidRPr="00627DA0">
          <w:rPr>
            <w:webHidden/>
          </w:rPr>
          <w:t>42</w:t>
        </w:r>
        <w:r w:rsidRPr="00627DA0">
          <w:rPr>
            <w:webHidden/>
          </w:rPr>
          <w:fldChar w:fldCharType="end"/>
        </w:r>
      </w:hyperlink>
    </w:p>
    <w:p w14:paraId="2637D43C" w14:textId="75302B13"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8" w:history="1">
        <w:r w:rsidRPr="00627DA0">
          <w:rPr>
            <w:rStyle w:val="Hyperlink"/>
          </w:rPr>
          <w:t>Figure 29: Comparison of Off-Peak Price Sensitivities</w:t>
        </w:r>
        <w:r w:rsidRPr="00627DA0">
          <w:rPr>
            <w:webHidden/>
          </w:rPr>
          <w:tab/>
        </w:r>
        <w:r w:rsidRPr="00627DA0">
          <w:rPr>
            <w:webHidden/>
          </w:rPr>
          <w:fldChar w:fldCharType="begin"/>
        </w:r>
        <w:r w:rsidRPr="00627DA0">
          <w:rPr>
            <w:webHidden/>
          </w:rPr>
          <w:instrText xml:space="preserve"> PAGEREF _Toc207870728 \h </w:instrText>
        </w:r>
        <w:r w:rsidRPr="00627DA0">
          <w:rPr>
            <w:webHidden/>
          </w:rPr>
        </w:r>
        <w:r w:rsidRPr="00627DA0">
          <w:rPr>
            <w:webHidden/>
          </w:rPr>
          <w:fldChar w:fldCharType="separate"/>
        </w:r>
        <w:r w:rsidRPr="00627DA0">
          <w:rPr>
            <w:webHidden/>
          </w:rPr>
          <w:t>42</w:t>
        </w:r>
        <w:r w:rsidRPr="00627DA0">
          <w:rPr>
            <w:webHidden/>
          </w:rPr>
          <w:fldChar w:fldCharType="end"/>
        </w:r>
      </w:hyperlink>
    </w:p>
    <w:p w14:paraId="46D5CE60" w14:textId="728DCA7C"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29" w:history="1">
        <w:r w:rsidRPr="00627DA0">
          <w:rPr>
            <w:rStyle w:val="Hyperlink"/>
          </w:rPr>
          <w:t>Figure 30: Council Marginal Emissions Rate Forecast</w:t>
        </w:r>
        <w:r w:rsidRPr="00627DA0">
          <w:rPr>
            <w:webHidden/>
          </w:rPr>
          <w:tab/>
        </w:r>
        <w:r w:rsidRPr="00627DA0">
          <w:rPr>
            <w:webHidden/>
          </w:rPr>
          <w:fldChar w:fldCharType="begin"/>
        </w:r>
        <w:r w:rsidRPr="00627DA0">
          <w:rPr>
            <w:webHidden/>
          </w:rPr>
          <w:instrText xml:space="preserve"> PAGEREF _Toc207870729 \h </w:instrText>
        </w:r>
        <w:r w:rsidRPr="00627DA0">
          <w:rPr>
            <w:webHidden/>
          </w:rPr>
        </w:r>
        <w:r w:rsidRPr="00627DA0">
          <w:rPr>
            <w:webHidden/>
          </w:rPr>
          <w:fldChar w:fldCharType="separate"/>
        </w:r>
        <w:r w:rsidRPr="00627DA0">
          <w:rPr>
            <w:webHidden/>
          </w:rPr>
          <w:t>44</w:t>
        </w:r>
        <w:r w:rsidRPr="00627DA0">
          <w:rPr>
            <w:webHidden/>
          </w:rPr>
          <w:fldChar w:fldCharType="end"/>
        </w:r>
      </w:hyperlink>
    </w:p>
    <w:p w14:paraId="7CA18EDA" w14:textId="135B04C8" w:rsidR="00E3745B" w:rsidRPr="00627DA0" w:rsidRDefault="0090401C" w:rsidP="009A2BFC">
      <w:r w:rsidRPr="00627DA0">
        <w:fldChar w:fldCharType="end"/>
      </w:r>
    </w:p>
    <w:p w14:paraId="6772F65E" w14:textId="77777777" w:rsidR="006A0526" w:rsidRPr="00627DA0" w:rsidRDefault="006A0526">
      <w:pPr>
        <w:rPr>
          <w:rFonts w:ascii="Calibri" w:eastAsiaTheme="majorEastAsia" w:hAnsi="Calibri" w:cstheme="majorBidi"/>
          <w:b/>
          <w:color w:val="002C7C" w:themeColor="accent1"/>
          <w:sz w:val="32"/>
          <w:szCs w:val="32"/>
        </w:rPr>
      </w:pPr>
      <w:r w:rsidRPr="00627DA0">
        <w:br w:type="page"/>
      </w:r>
    </w:p>
    <w:p w14:paraId="2A927CC3" w14:textId="550978FA" w:rsidR="00E3745B" w:rsidRPr="00627DA0" w:rsidRDefault="00E3745B" w:rsidP="00B722FA">
      <w:pPr>
        <w:pStyle w:val="Heading1"/>
      </w:pPr>
      <w:bookmarkStart w:id="4" w:name="_Toc61243767"/>
      <w:bookmarkStart w:id="5" w:name="_Toc207870648"/>
      <w:r w:rsidRPr="00627DA0">
        <w:lastRenderedPageBreak/>
        <w:t>List of Tables</w:t>
      </w:r>
      <w:bookmarkEnd w:id="4"/>
      <w:bookmarkEnd w:id="5"/>
    </w:p>
    <w:p w14:paraId="3DAB90EF" w14:textId="1C062571" w:rsidR="00AA2C5B" w:rsidRPr="00627DA0" w:rsidRDefault="0087583C">
      <w:pPr>
        <w:pStyle w:val="TableofFigures"/>
        <w:tabs>
          <w:tab w:val="right" w:leader="dot" w:pos="9350"/>
        </w:tabs>
        <w:rPr>
          <w:rFonts w:asciiTheme="minorHAnsi" w:eastAsiaTheme="minorEastAsia" w:hAnsiTheme="minorHAnsi"/>
          <w:kern w:val="2"/>
          <w:sz w:val="24"/>
          <w:szCs w:val="24"/>
          <w14:ligatures w14:val="standardContextual"/>
        </w:rPr>
      </w:pPr>
      <w:r w:rsidRPr="00627DA0">
        <w:rPr>
          <w:sz w:val="21"/>
          <w:szCs w:val="21"/>
        </w:rPr>
        <w:fldChar w:fldCharType="begin"/>
      </w:r>
      <w:r w:rsidRPr="00627DA0">
        <w:rPr>
          <w:sz w:val="21"/>
          <w:szCs w:val="21"/>
        </w:rPr>
        <w:instrText xml:space="preserve"> TOC \h \z \c "Table" </w:instrText>
      </w:r>
      <w:r w:rsidRPr="00627DA0">
        <w:rPr>
          <w:sz w:val="21"/>
          <w:szCs w:val="21"/>
        </w:rPr>
        <w:fldChar w:fldCharType="separate"/>
      </w:r>
      <w:hyperlink w:anchor="_Toc207870730" w:history="1">
        <w:r w:rsidR="00AA2C5B" w:rsidRPr="00627DA0">
          <w:rPr>
            <w:rStyle w:val="Hyperlink"/>
          </w:rPr>
          <w:t>Table 1: Cost-Effective Potential by Sector (MWh)</w:t>
        </w:r>
        <w:r w:rsidR="00AA2C5B" w:rsidRPr="00627DA0">
          <w:rPr>
            <w:webHidden/>
          </w:rPr>
          <w:tab/>
        </w:r>
        <w:r w:rsidR="00AA2C5B" w:rsidRPr="00627DA0">
          <w:rPr>
            <w:webHidden/>
          </w:rPr>
          <w:fldChar w:fldCharType="begin"/>
        </w:r>
        <w:r w:rsidR="00AA2C5B" w:rsidRPr="00627DA0">
          <w:rPr>
            <w:webHidden/>
          </w:rPr>
          <w:instrText xml:space="preserve"> PAGEREF _Toc207870730 \h </w:instrText>
        </w:r>
        <w:r w:rsidR="00AA2C5B" w:rsidRPr="00627DA0">
          <w:rPr>
            <w:webHidden/>
          </w:rPr>
        </w:r>
        <w:r w:rsidR="00AA2C5B" w:rsidRPr="00627DA0">
          <w:rPr>
            <w:webHidden/>
          </w:rPr>
          <w:fldChar w:fldCharType="separate"/>
        </w:r>
        <w:r w:rsidR="00AA2C5B" w:rsidRPr="00627DA0">
          <w:rPr>
            <w:webHidden/>
          </w:rPr>
          <w:t>3</w:t>
        </w:r>
        <w:r w:rsidR="00AA2C5B" w:rsidRPr="00627DA0">
          <w:rPr>
            <w:webHidden/>
          </w:rPr>
          <w:fldChar w:fldCharType="end"/>
        </w:r>
      </w:hyperlink>
    </w:p>
    <w:p w14:paraId="79E40500" w14:textId="0062903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1" w:history="1">
        <w:r w:rsidRPr="00627DA0">
          <w:rPr>
            <w:rStyle w:val="Hyperlink"/>
          </w:rPr>
          <w:t>Table 2: Peak Demand Savings from Cost-Effective Energy Efficiency Potential by Sector (MW)</w:t>
        </w:r>
        <w:r w:rsidRPr="00627DA0">
          <w:rPr>
            <w:webHidden/>
          </w:rPr>
          <w:tab/>
        </w:r>
        <w:r w:rsidRPr="00627DA0">
          <w:rPr>
            <w:webHidden/>
          </w:rPr>
          <w:fldChar w:fldCharType="begin"/>
        </w:r>
        <w:r w:rsidRPr="00627DA0">
          <w:rPr>
            <w:webHidden/>
          </w:rPr>
          <w:instrText xml:space="preserve"> PAGEREF _Toc207870731 \h </w:instrText>
        </w:r>
        <w:r w:rsidRPr="00627DA0">
          <w:rPr>
            <w:webHidden/>
          </w:rPr>
        </w:r>
        <w:r w:rsidRPr="00627DA0">
          <w:rPr>
            <w:webHidden/>
          </w:rPr>
          <w:fldChar w:fldCharType="separate"/>
        </w:r>
        <w:r w:rsidRPr="00627DA0">
          <w:rPr>
            <w:webHidden/>
          </w:rPr>
          <w:t>4</w:t>
        </w:r>
        <w:r w:rsidRPr="00627DA0">
          <w:rPr>
            <w:webHidden/>
          </w:rPr>
          <w:fldChar w:fldCharType="end"/>
        </w:r>
      </w:hyperlink>
    </w:p>
    <w:p w14:paraId="3BA0CB95" w14:textId="20F38AB7"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2" w:history="1">
        <w:r w:rsidRPr="00627DA0">
          <w:rPr>
            <w:rStyle w:val="Hyperlink"/>
          </w:rPr>
          <w:t>Table 3: Comparison of 2023 and 2025 CPA Results (MWh)</w:t>
        </w:r>
        <w:r w:rsidRPr="00627DA0">
          <w:rPr>
            <w:webHidden/>
          </w:rPr>
          <w:tab/>
        </w:r>
        <w:r w:rsidRPr="00627DA0">
          <w:rPr>
            <w:webHidden/>
          </w:rPr>
          <w:fldChar w:fldCharType="begin"/>
        </w:r>
        <w:r w:rsidRPr="00627DA0">
          <w:rPr>
            <w:webHidden/>
          </w:rPr>
          <w:instrText xml:space="preserve"> PAGEREF _Toc207870732 \h </w:instrText>
        </w:r>
        <w:r w:rsidRPr="00627DA0">
          <w:rPr>
            <w:webHidden/>
          </w:rPr>
        </w:r>
        <w:r w:rsidRPr="00627DA0">
          <w:rPr>
            <w:webHidden/>
          </w:rPr>
          <w:fldChar w:fldCharType="separate"/>
        </w:r>
        <w:r w:rsidRPr="00627DA0">
          <w:rPr>
            <w:webHidden/>
          </w:rPr>
          <w:t>5</w:t>
        </w:r>
        <w:r w:rsidRPr="00627DA0">
          <w:rPr>
            <w:webHidden/>
          </w:rPr>
          <w:fldChar w:fldCharType="end"/>
        </w:r>
      </w:hyperlink>
    </w:p>
    <w:p w14:paraId="22AEF344" w14:textId="128322A2"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3" w:history="1">
        <w:r w:rsidRPr="00627DA0">
          <w:rPr>
            <w:rStyle w:val="Hyperlink"/>
          </w:rPr>
          <w:t>Table 4: Service Territory Characteristics</w:t>
        </w:r>
        <w:r w:rsidRPr="00627DA0">
          <w:rPr>
            <w:webHidden/>
          </w:rPr>
          <w:tab/>
        </w:r>
        <w:r w:rsidRPr="00627DA0">
          <w:rPr>
            <w:webHidden/>
          </w:rPr>
          <w:fldChar w:fldCharType="begin"/>
        </w:r>
        <w:r w:rsidRPr="00627DA0">
          <w:rPr>
            <w:webHidden/>
          </w:rPr>
          <w:instrText xml:space="preserve"> PAGEREF _Toc207870733 \h </w:instrText>
        </w:r>
        <w:r w:rsidRPr="00627DA0">
          <w:rPr>
            <w:webHidden/>
          </w:rPr>
        </w:r>
        <w:r w:rsidRPr="00627DA0">
          <w:rPr>
            <w:webHidden/>
          </w:rPr>
          <w:fldChar w:fldCharType="separate"/>
        </w:r>
        <w:r w:rsidRPr="00627DA0">
          <w:rPr>
            <w:webHidden/>
          </w:rPr>
          <w:t>14</w:t>
        </w:r>
        <w:r w:rsidRPr="00627DA0">
          <w:rPr>
            <w:webHidden/>
          </w:rPr>
          <w:fldChar w:fldCharType="end"/>
        </w:r>
      </w:hyperlink>
    </w:p>
    <w:p w14:paraId="2CB72CE7" w14:textId="2AFED456"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4" w:history="1">
        <w:r w:rsidRPr="00627DA0">
          <w:rPr>
            <w:rStyle w:val="Hyperlink"/>
          </w:rPr>
          <w:t>Table 5: Residential Existing Home Characteristics</w:t>
        </w:r>
        <w:r w:rsidRPr="00627DA0">
          <w:rPr>
            <w:webHidden/>
          </w:rPr>
          <w:tab/>
        </w:r>
        <w:r w:rsidRPr="00627DA0">
          <w:rPr>
            <w:webHidden/>
          </w:rPr>
          <w:fldChar w:fldCharType="begin"/>
        </w:r>
        <w:r w:rsidRPr="00627DA0">
          <w:rPr>
            <w:webHidden/>
          </w:rPr>
          <w:instrText xml:space="preserve"> PAGEREF _Toc207870734 \h </w:instrText>
        </w:r>
        <w:r w:rsidRPr="00627DA0">
          <w:rPr>
            <w:webHidden/>
          </w:rPr>
        </w:r>
        <w:r w:rsidRPr="00627DA0">
          <w:rPr>
            <w:webHidden/>
          </w:rPr>
          <w:fldChar w:fldCharType="separate"/>
        </w:r>
        <w:r w:rsidRPr="00627DA0">
          <w:rPr>
            <w:webHidden/>
          </w:rPr>
          <w:t>14</w:t>
        </w:r>
        <w:r w:rsidRPr="00627DA0">
          <w:rPr>
            <w:webHidden/>
          </w:rPr>
          <w:fldChar w:fldCharType="end"/>
        </w:r>
      </w:hyperlink>
    </w:p>
    <w:p w14:paraId="0A427269" w14:textId="54A8C477"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5" w:history="1">
        <w:r w:rsidRPr="00627DA0">
          <w:rPr>
            <w:rStyle w:val="Hyperlink"/>
          </w:rPr>
          <w:t>Table 6: Residential New Home Characteristics</w:t>
        </w:r>
        <w:r w:rsidRPr="00627DA0">
          <w:rPr>
            <w:webHidden/>
          </w:rPr>
          <w:tab/>
        </w:r>
        <w:r w:rsidRPr="00627DA0">
          <w:rPr>
            <w:webHidden/>
          </w:rPr>
          <w:fldChar w:fldCharType="begin"/>
        </w:r>
        <w:r w:rsidRPr="00627DA0">
          <w:rPr>
            <w:webHidden/>
          </w:rPr>
          <w:instrText xml:space="preserve"> PAGEREF _Toc207870735 \h </w:instrText>
        </w:r>
        <w:r w:rsidRPr="00627DA0">
          <w:rPr>
            <w:webHidden/>
          </w:rPr>
        </w:r>
        <w:r w:rsidRPr="00627DA0">
          <w:rPr>
            <w:webHidden/>
          </w:rPr>
          <w:fldChar w:fldCharType="separate"/>
        </w:r>
        <w:r w:rsidRPr="00627DA0">
          <w:rPr>
            <w:webHidden/>
          </w:rPr>
          <w:t>15</w:t>
        </w:r>
        <w:r w:rsidRPr="00627DA0">
          <w:rPr>
            <w:webHidden/>
          </w:rPr>
          <w:fldChar w:fldCharType="end"/>
        </w:r>
      </w:hyperlink>
    </w:p>
    <w:p w14:paraId="322BED7A" w14:textId="52C93FA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6" w:history="1">
        <w:r w:rsidRPr="00627DA0">
          <w:rPr>
            <w:rStyle w:val="Hyperlink"/>
          </w:rPr>
          <w:t>Table 7: Commercial Floor Area by Segment</w:t>
        </w:r>
        <w:r w:rsidRPr="00627DA0">
          <w:rPr>
            <w:webHidden/>
          </w:rPr>
          <w:tab/>
        </w:r>
        <w:r w:rsidRPr="00627DA0">
          <w:rPr>
            <w:webHidden/>
          </w:rPr>
          <w:fldChar w:fldCharType="begin"/>
        </w:r>
        <w:r w:rsidRPr="00627DA0">
          <w:rPr>
            <w:webHidden/>
          </w:rPr>
          <w:instrText xml:space="preserve"> PAGEREF _Toc207870736 \h </w:instrText>
        </w:r>
        <w:r w:rsidRPr="00627DA0">
          <w:rPr>
            <w:webHidden/>
          </w:rPr>
        </w:r>
        <w:r w:rsidRPr="00627DA0">
          <w:rPr>
            <w:webHidden/>
          </w:rPr>
          <w:fldChar w:fldCharType="separate"/>
        </w:r>
        <w:r w:rsidRPr="00627DA0">
          <w:rPr>
            <w:webHidden/>
          </w:rPr>
          <w:t>16</w:t>
        </w:r>
        <w:r w:rsidRPr="00627DA0">
          <w:rPr>
            <w:webHidden/>
          </w:rPr>
          <w:fldChar w:fldCharType="end"/>
        </w:r>
      </w:hyperlink>
    </w:p>
    <w:p w14:paraId="5A423829" w14:textId="3D857624"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7" w:history="1">
        <w:r w:rsidRPr="00627DA0">
          <w:rPr>
            <w:rStyle w:val="Hyperlink"/>
          </w:rPr>
          <w:t>Table 8: Industrial Sector Sales by Segment</w:t>
        </w:r>
        <w:r w:rsidRPr="00627DA0">
          <w:rPr>
            <w:webHidden/>
          </w:rPr>
          <w:tab/>
        </w:r>
        <w:r w:rsidRPr="00627DA0">
          <w:rPr>
            <w:webHidden/>
          </w:rPr>
          <w:fldChar w:fldCharType="begin"/>
        </w:r>
        <w:r w:rsidRPr="00627DA0">
          <w:rPr>
            <w:webHidden/>
          </w:rPr>
          <w:instrText xml:space="preserve"> PAGEREF _Toc207870737 \h </w:instrText>
        </w:r>
        <w:r w:rsidRPr="00627DA0">
          <w:rPr>
            <w:webHidden/>
          </w:rPr>
        </w:r>
        <w:r w:rsidRPr="00627DA0">
          <w:rPr>
            <w:webHidden/>
          </w:rPr>
          <w:fldChar w:fldCharType="separate"/>
        </w:r>
        <w:r w:rsidRPr="00627DA0">
          <w:rPr>
            <w:webHidden/>
          </w:rPr>
          <w:t>17</w:t>
        </w:r>
        <w:r w:rsidRPr="00627DA0">
          <w:rPr>
            <w:webHidden/>
          </w:rPr>
          <w:fldChar w:fldCharType="end"/>
        </w:r>
      </w:hyperlink>
    </w:p>
    <w:p w14:paraId="39716ABD" w14:textId="06620FBF"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8" w:history="1">
        <w:r w:rsidRPr="00627DA0">
          <w:rPr>
            <w:rStyle w:val="Hyperlink"/>
          </w:rPr>
          <w:t>Table 9: Utility Distribution System Efficiency Assumptions</w:t>
        </w:r>
        <w:r w:rsidRPr="00627DA0">
          <w:rPr>
            <w:webHidden/>
          </w:rPr>
          <w:tab/>
        </w:r>
        <w:r w:rsidRPr="00627DA0">
          <w:rPr>
            <w:webHidden/>
          </w:rPr>
          <w:fldChar w:fldCharType="begin"/>
        </w:r>
        <w:r w:rsidRPr="00627DA0">
          <w:rPr>
            <w:webHidden/>
          </w:rPr>
          <w:instrText xml:space="preserve"> PAGEREF _Toc207870738 \h </w:instrText>
        </w:r>
        <w:r w:rsidRPr="00627DA0">
          <w:rPr>
            <w:webHidden/>
          </w:rPr>
        </w:r>
        <w:r w:rsidRPr="00627DA0">
          <w:rPr>
            <w:webHidden/>
          </w:rPr>
          <w:fldChar w:fldCharType="separate"/>
        </w:r>
        <w:r w:rsidRPr="00627DA0">
          <w:rPr>
            <w:webHidden/>
          </w:rPr>
          <w:t>17</w:t>
        </w:r>
        <w:r w:rsidRPr="00627DA0">
          <w:rPr>
            <w:webHidden/>
          </w:rPr>
          <w:fldChar w:fldCharType="end"/>
        </w:r>
      </w:hyperlink>
    </w:p>
    <w:p w14:paraId="4F18B970" w14:textId="32093C81"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39" w:history="1">
        <w:r w:rsidRPr="00627DA0">
          <w:rPr>
            <w:rStyle w:val="Hyperlink"/>
          </w:rPr>
          <w:t>Table 10: Avoided Cost Assumptions by Sensitivity</w:t>
        </w:r>
        <w:r w:rsidRPr="00627DA0">
          <w:rPr>
            <w:webHidden/>
          </w:rPr>
          <w:tab/>
        </w:r>
        <w:r w:rsidRPr="00627DA0">
          <w:rPr>
            <w:webHidden/>
          </w:rPr>
          <w:fldChar w:fldCharType="begin"/>
        </w:r>
        <w:r w:rsidRPr="00627DA0">
          <w:rPr>
            <w:webHidden/>
          </w:rPr>
          <w:instrText xml:space="preserve"> PAGEREF _Toc207870739 \h </w:instrText>
        </w:r>
        <w:r w:rsidRPr="00627DA0">
          <w:rPr>
            <w:webHidden/>
          </w:rPr>
        </w:r>
        <w:r w:rsidRPr="00627DA0">
          <w:rPr>
            <w:webHidden/>
          </w:rPr>
          <w:fldChar w:fldCharType="separate"/>
        </w:r>
        <w:r w:rsidRPr="00627DA0">
          <w:rPr>
            <w:webHidden/>
          </w:rPr>
          <w:t>29</w:t>
        </w:r>
        <w:r w:rsidRPr="00627DA0">
          <w:rPr>
            <w:webHidden/>
          </w:rPr>
          <w:fldChar w:fldCharType="end"/>
        </w:r>
      </w:hyperlink>
    </w:p>
    <w:p w14:paraId="028EE34B" w14:textId="1A7AE59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0" w:history="1">
        <w:r w:rsidRPr="00627DA0">
          <w:rPr>
            <w:rStyle w:val="Hyperlink"/>
          </w:rPr>
          <w:t>Table 11: Cost Effective Potential (MWh) by Avoided Cost Sensitivity</w:t>
        </w:r>
        <w:r w:rsidRPr="00627DA0">
          <w:rPr>
            <w:webHidden/>
          </w:rPr>
          <w:tab/>
        </w:r>
        <w:r w:rsidRPr="00627DA0">
          <w:rPr>
            <w:webHidden/>
          </w:rPr>
          <w:fldChar w:fldCharType="begin"/>
        </w:r>
        <w:r w:rsidRPr="00627DA0">
          <w:rPr>
            <w:webHidden/>
          </w:rPr>
          <w:instrText xml:space="preserve"> PAGEREF _Toc207870740 \h </w:instrText>
        </w:r>
        <w:r w:rsidRPr="00627DA0">
          <w:rPr>
            <w:webHidden/>
          </w:rPr>
        </w:r>
        <w:r w:rsidRPr="00627DA0">
          <w:rPr>
            <w:webHidden/>
          </w:rPr>
          <w:fldChar w:fldCharType="separate"/>
        </w:r>
        <w:r w:rsidRPr="00627DA0">
          <w:rPr>
            <w:webHidden/>
          </w:rPr>
          <w:t>30</w:t>
        </w:r>
        <w:r w:rsidRPr="00627DA0">
          <w:rPr>
            <w:webHidden/>
          </w:rPr>
          <w:fldChar w:fldCharType="end"/>
        </w:r>
      </w:hyperlink>
    </w:p>
    <w:p w14:paraId="3EB27369" w14:textId="27A813BC"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1" w:history="1">
        <w:r w:rsidRPr="00627DA0">
          <w:rPr>
            <w:rStyle w:val="Hyperlink"/>
          </w:rPr>
          <w:t>Table 12: CPA Compliance</w:t>
        </w:r>
        <w:r w:rsidRPr="00627DA0">
          <w:rPr>
            <w:webHidden/>
          </w:rPr>
          <w:tab/>
        </w:r>
        <w:r w:rsidRPr="00627DA0">
          <w:rPr>
            <w:webHidden/>
          </w:rPr>
          <w:fldChar w:fldCharType="begin"/>
        </w:r>
        <w:r w:rsidRPr="00627DA0">
          <w:rPr>
            <w:webHidden/>
          </w:rPr>
          <w:instrText xml:space="preserve"> PAGEREF _Toc207870741 \h </w:instrText>
        </w:r>
        <w:r w:rsidRPr="00627DA0">
          <w:rPr>
            <w:webHidden/>
          </w:rPr>
        </w:r>
        <w:r w:rsidRPr="00627DA0">
          <w:rPr>
            <w:webHidden/>
          </w:rPr>
          <w:fldChar w:fldCharType="separate"/>
        </w:r>
        <w:r w:rsidRPr="00627DA0">
          <w:rPr>
            <w:webHidden/>
          </w:rPr>
          <w:t>35</w:t>
        </w:r>
        <w:r w:rsidRPr="00627DA0">
          <w:rPr>
            <w:webHidden/>
          </w:rPr>
          <w:fldChar w:fldCharType="end"/>
        </w:r>
      </w:hyperlink>
    </w:p>
    <w:p w14:paraId="5F0261B4" w14:textId="741ABD8F"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2" w:history="1">
        <w:r w:rsidRPr="00627DA0">
          <w:rPr>
            <w:rStyle w:val="Hyperlink"/>
          </w:rPr>
          <w:t>Table 13: Energy Efficiency Avoided Cost Assumptions by Sensitivity</w:t>
        </w:r>
        <w:r w:rsidRPr="00627DA0">
          <w:rPr>
            <w:webHidden/>
          </w:rPr>
          <w:tab/>
        </w:r>
        <w:r w:rsidRPr="00627DA0">
          <w:rPr>
            <w:webHidden/>
          </w:rPr>
          <w:fldChar w:fldCharType="begin"/>
        </w:r>
        <w:r w:rsidRPr="00627DA0">
          <w:rPr>
            <w:webHidden/>
          </w:rPr>
          <w:instrText xml:space="preserve"> PAGEREF _Toc207870742 \h </w:instrText>
        </w:r>
        <w:r w:rsidRPr="00627DA0">
          <w:rPr>
            <w:webHidden/>
          </w:rPr>
        </w:r>
        <w:r w:rsidRPr="00627DA0">
          <w:rPr>
            <w:webHidden/>
          </w:rPr>
          <w:fldChar w:fldCharType="separate"/>
        </w:r>
        <w:r w:rsidRPr="00627DA0">
          <w:rPr>
            <w:webHidden/>
          </w:rPr>
          <w:t>45</w:t>
        </w:r>
        <w:r w:rsidRPr="00627DA0">
          <w:rPr>
            <w:webHidden/>
          </w:rPr>
          <w:fldChar w:fldCharType="end"/>
        </w:r>
      </w:hyperlink>
    </w:p>
    <w:p w14:paraId="796B3012" w14:textId="7B001577"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3" w:history="1">
        <w:r w:rsidRPr="00627DA0">
          <w:rPr>
            <w:rStyle w:val="Hyperlink"/>
          </w:rPr>
          <w:t>Table 14: Residential End Uses and Measures</w:t>
        </w:r>
        <w:r w:rsidRPr="00627DA0">
          <w:rPr>
            <w:webHidden/>
          </w:rPr>
          <w:tab/>
        </w:r>
        <w:r w:rsidRPr="00627DA0">
          <w:rPr>
            <w:webHidden/>
          </w:rPr>
          <w:fldChar w:fldCharType="begin"/>
        </w:r>
        <w:r w:rsidRPr="00627DA0">
          <w:rPr>
            <w:webHidden/>
          </w:rPr>
          <w:instrText xml:space="preserve"> PAGEREF _Toc207870743 \h </w:instrText>
        </w:r>
        <w:r w:rsidRPr="00627DA0">
          <w:rPr>
            <w:webHidden/>
          </w:rPr>
        </w:r>
        <w:r w:rsidRPr="00627DA0">
          <w:rPr>
            <w:webHidden/>
          </w:rPr>
          <w:fldChar w:fldCharType="separate"/>
        </w:r>
        <w:r w:rsidRPr="00627DA0">
          <w:rPr>
            <w:webHidden/>
          </w:rPr>
          <w:t>48</w:t>
        </w:r>
        <w:r w:rsidRPr="00627DA0">
          <w:rPr>
            <w:webHidden/>
          </w:rPr>
          <w:fldChar w:fldCharType="end"/>
        </w:r>
      </w:hyperlink>
    </w:p>
    <w:p w14:paraId="20202225" w14:textId="560A7772"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4" w:history="1">
        <w:r w:rsidRPr="00627DA0">
          <w:rPr>
            <w:rStyle w:val="Hyperlink"/>
          </w:rPr>
          <w:t>Table 15: Commercial End Uses and Measures</w:t>
        </w:r>
        <w:r w:rsidRPr="00627DA0">
          <w:rPr>
            <w:webHidden/>
          </w:rPr>
          <w:tab/>
        </w:r>
        <w:r w:rsidRPr="00627DA0">
          <w:rPr>
            <w:webHidden/>
          </w:rPr>
          <w:fldChar w:fldCharType="begin"/>
        </w:r>
        <w:r w:rsidRPr="00627DA0">
          <w:rPr>
            <w:webHidden/>
          </w:rPr>
          <w:instrText xml:space="preserve"> PAGEREF _Toc207870744 \h </w:instrText>
        </w:r>
        <w:r w:rsidRPr="00627DA0">
          <w:rPr>
            <w:webHidden/>
          </w:rPr>
        </w:r>
        <w:r w:rsidRPr="00627DA0">
          <w:rPr>
            <w:webHidden/>
          </w:rPr>
          <w:fldChar w:fldCharType="separate"/>
        </w:r>
        <w:r w:rsidRPr="00627DA0">
          <w:rPr>
            <w:webHidden/>
          </w:rPr>
          <w:t>49</w:t>
        </w:r>
        <w:r w:rsidRPr="00627DA0">
          <w:rPr>
            <w:webHidden/>
          </w:rPr>
          <w:fldChar w:fldCharType="end"/>
        </w:r>
      </w:hyperlink>
    </w:p>
    <w:p w14:paraId="0BCAA5CF" w14:textId="7BDB3F3C"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5" w:history="1">
        <w:r w:rsidRPr="00627DA0">
          <w:rPr>
            <w:rStyle w:val="Hyperlink"/>
          </w:rPr>
          <w:t>Table 16: Industrial End Uses and Measures</w:t>
        </w:r>
        <w:r w:rsidRPr="00627DA0">
          <w:rPr>
            <w:webHidden/>
          </w:rPr>
          <w:tab/>
        </w:r>
        <w:r w:rsidRPr="00627DA0">
          <w:rPr>
            <w:webHidden/>
          </w:rPr>
          <w:fldChar w:fldCharType="begin"/>
        </w:r>
        <w:r w:rsidRPr="00627DA0">
          <w:rPr>
            <w:webHidden/>
          </w:rPr>
          <w:instrText xml:space="preserve"> PAGEREF _Toc207870745 \h </w:instrText>
        </w:r>
        <w:r w:rsidRPr="00627DA0">
          <w:rPr>
            <w:webHidden/>
          </w:rPr>
        </w:r>
        <w:r w:rsidRPr="00627DA0">
          <w:rPr>
            <w:webHidden/>
          </w:rPr>
          <w:fldChar w:fldCharType="separate"/>
        </w:r>
        <w:r w:rsidRPr="00627DA0">
          <w:rPr>
            <w:webHidden/>
          </w:rPr>
          <w:t>50</w:t>
        </w:r>
        <w:r w:rsidRPr="00627DA0">
          <w:rPr>
            <w:webHidden/>
          </w:rPr>
          <w:fldChar w:fldCharType="end"/>
        </w:r>
      </w:hyperlink>
    </w:p>
    <w:p w14:paraId="7847AACC" w14:textId="500A1557"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6" w:history="1">
        <w:r w:rsidRPr="00627DA0">
          <w:rPr>
            <w:rStyle w:val="Hyperlink"/>
          </w:rPr>
          <w:t>Table 17: Utility Distribution End Uses and Measures</w:t>
        </w:r>
        <w:r w:rsidRPr="00627DA0">
          <w:rPr>
            <w:webHidden/>
          </w:rPr>
          <w:tab/>
        </w:r>
        <w:r w:rsidRPr="00627DA0">
          <w:rPr>
            <w:webHidden/>
          </w:rPr>
          <w:fldChar w:fldCharType="begin"/>
        </w:r>
        <w:r w:rsidRPr="00627DA0">
          <w:rPr>
            <w:webHidden/>
          </w:rPr>
          <w:instrText xml:space="preserve"> PAGEREF _Toc207870746 \h </w:instrText>
        </w:r>
        <w:r w:rsidRPr="00627DA0">
          <w:rPr>
            <w:webHidden/>
          </w:rPr>
        </w:r>
        <w:r w:rsidRPr="00627DA0">
          <w:rPr>
            <w:webHidden/>
          </w:rPr>
          <w:fldChar w:fldCharType="separate"/>
        </w:r>
        <w:r w:rsidRPr="00627DA0">
          <w:rPr>
            <w:webHidden/>
          </w:rPr>
          <w:t>50</w:t>
        </w:r>
        <w:r w:rsidRPr="00627DA0">
          <w:rPr>
            <w:webHidden/>
          </w:rPr>
          <w:fldChar w:fldCharType="end"/>
        </w:r>
      </w:hyperlink>
    </w:p>
    <w:p w14:paraId="70704194" w14:textId="4040F3F9"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7" w:history="1">
        <w:r w:rsidRPr="00627DA0">
          <w:rPr>
            <w:rStyle w:val="Hyperlink"/>
          </w:rPr>
          <w:t>Table 18: Agricultural End Uses and Measures</w:t>
        </w:r>
        <w:r w:rsidRPr="00627DA0">
          <w:rPr>
            <w:webHidden/>
          </w:rPr>
          <w:tab/>
        </w:r>
        <w:r w:rsidRPr="00627DA0">
          <w:rPr>
            <w:webHidden/>
          </w:rPr>
          <w:fldChar w:fldCharType="begin"/>
        </w:r>
        <w:r w:rsidRPr="00627DA0">
          <w:rPr>
            <w:webHidden/>
          </w:rPr>
          <w:instrText xml:space="preserve"> PAGEREF _Toc207870747 \h </w:instrText>
        </w:r>
        <w:r w:rsidRPr="00627DA0">
          <w:rPr>
            <w:webHidden/>
          </w:rPr>
        </w:r>
        <w:r w:rsidRPr="00627DA0">
          <w:rPr>
            <w:webHidden/>
          </w:rPr>
          <w:fldChar w:fldCharType="separate"/>
        </w:r>
        <w:r w:rsidRPr="00627DA0">
          <w:rPr>
            <w:webHidden/>
          </w:rPr>
          <w:t>51</w:t>
        </w:r>
        <w:r w:rsidRPr="00627DA0">
          <w:rPr>
            <w:webHidden/>
          </w:rPr>
          <w:fldChar w:fldCharType="end"/>
        </w:r>
      </w:hyperlink>
    </w:p>
    <w:p w14:paraId="1D90B325" w14:textId="22691CFB"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8" w:history="1">
        <w:r w:rsidRPr="00627DA0">
          <w:rPr>
            <w:rStyle w:val="Hyperlink"/>
          </w:rPr>
          <w:t>Table 19: Cost-Effective Residential Potential by End Use (MWh)</w:t>
        </w:r>
        <w:r w:rsidRPr="00627DA0">
          <w:rPr>
            <w:webHidden/>
          </w:rPr>
          <w:tab/>
        </w:r>
        <w:r w:rsidRPr="00627DA0">
          <w:rPr>
            <w:webHidden/>
          </w:rPr>
          <w:fldChar w:fldCharType="begin"/>
        </w:r>
        <w:r w:rsidRPr="00627DA0">
          <w:rPr>
            <w:webHidden/>
          </w:rPr>
          <w:instrText xml:space="preserve"> PAGEREF _Toc207870748 \h </w:instrText>
        </w:r>
        <w:r w:rsidRPr="00627DA0">
          <w:rPr>
            <w:webHidden/>
          </w:rPr>
        </w:r>
        <w:r w:rsidRPr="00627DA0">
          <w:rPr>
            <w:webHidden/>
          </w:rPr>
          <w:fldChar w:fldCharType="separate"/>
        </w:r>
        <w:r w:rsidRPr="00627DA0">
          <w:rPr>
            <w:webHidden/>
          </w:rPr>
          <w:t>52</w:t>
        </w:r>
        <w:r w:rsidRPr="00627DA0">
          <w:rPr>
            <w:webHidden/>
          </w:rPr>
          <w:fldChar w:fldCharType="end"/>
        </w:r>
      </w:hyperlink>
    </w:p>
    <w:p w14:paraId="533546F7" w14:textId="79DBAA65"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49" w:history="1">
        <w:r w:rsidRPr="00627DA0">
          <w:rPr>
            <w:rStyle w:val="Hyperlink"/>
          </w:rPr>
          <w:t>Table 20: Cost-Effective Commercial Potential by End Use (MWh)</w:t>
        </w:r>
        <w:r w:rsidRPr="00627DA0">
          <w:rPr>
            <w:webHidden/>
          </w:rPr>
          <w:tab/>
        </w:r>
        <w:r w:rsidRPr="00627DA0">
          <w:rPr>
            <w:webHidden/>
          </w:rPr>
          <w:fldChar w:fldCharType="begin"/>
        </w:r>
        <w:r w:rsidRPr="00627DA0">
          <w:rPr>
            <w:webHidden/>
          </w:rPr>
          <w:instrText xml:space="preserve"> PAGEREF _Toc207870749 \h </w:instrText>
        </w:r>
        <w:r w:rsidRPr="00627DA0">
          <w:rPr>
            <w:webHidden/>
          </w:rPr>
        </w:r>
        <w:r w:rsidRPr="00627DA0">
          <w:rPr>
            <w:webHidden/>
          </w:rPr>
          <w:fldChar w:fldCharType="separate"/>
        </w:r>
        <w:r w:rsidRPr="00627DA0">
          <w:rPr>
            <w:webHidden/>
          </w:rPr>
          <w:t>52</w:t>
        </w:r>
        <w:r w:rsidRPr="00627DA0">
          <w:rPr>
            <w:webHidden/>
          </w:rPr>
          <w:fldChar w:fldCharType="end"/>
        </w:r>
      </w:hyperlink>
    </w:p>
    <w:p w14:paraId="3DF0583C" w14:textId="50AD5F87"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0" w:history="1">
        <w:r w:rsidRPr="00627DA0">
          <w:rPr>
            <w:rStyle w:val="Hyperlink"/>
          </w:rPr>
          <w:t>Table 21: Cost-Effective Industrial Potential by End Use (MWh)</w:t>
        </w:r>
        <w:r w:rsidRPr="00627DA0">
          <w:rPr>
            <w:webHidden/>
          </w:rPr>
          <w:tab/>
        </w:r>
        <w:r w:rsidRPr="00627DA0">
          <w:rPr>
            <w:webHidden/>
          </w:rPr>
          <w:fldChar w:fldCharType="begin"/>
        </w:r>
        <w:r w:rsidRPr="00627DA0">
          <w:rPr>
            <w:webHidden/>
          </w:rPr>
          <w:instrText xml:space="preserve"> PAGEREF _Toc207870750 \h </w:instrText>
        </w:r>
        <w:r w:rsidRPr="00627DA0">
          <w:rPr>
            <w:webHidden/>
          </w:rPr>
        </w:r>
        <w:r w:rsidRPr="00627DA0">
          <w:rPr>
            <w:webHidden/>
          </w:rPr>
          <w:fldChar w:fldCharType="separate"/>
        </w:r>
        <w:r w:rsidRPr="00627DA0">
          <w:rPr>
            <w:webHidden/>
          </w:rPr>
          <w:t>53</w:t>
        </w:r>
        <w:r w:rsidRPr="00627DA0">
          <w:rPr>
            <w:webHidden/>
          </w:rPr>
          <w:fldChar w:fldCharType="end"/>
        </w:r>
      </w:hyperlink>
    </w:p>
    <w:p w14:paraId="4875BBDB" w14:textId="18817E5C"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1" w:history="1">
        <w:r w:rsidRPr="00627DA0">
          <w:rPr>
            <w:rStyle w:val="Hyperlink"/>
          </w:rPr>
          <w:t>Table 22: Cost-Effective Utility Distribution Efficiency by End Use (MWh)</w:t>
        </w:r>
        <w:r w:rsidRPr="00627DA0">
          <w:rPr>
            <w:webHidden/>
          </w:rPr>
          <w:tab/>
        </w:r>
        <w:r w:rsidRPr="00627DA0">
          <w:rPr>
            <w:webHidden/>
          </w:rPr>
          <w:fldChar w:fldCharType="begin"/>
        </w:r>
        <w:r w:rsidRPr="00627DA0">
          <w:rPr>
            <w:webHidden/>
          </w:rPr>
          <w:instrText xml:space="preserve"> PAGEREF _Toc207870751 \h </w:instrText>
        </w:r>
        <w:r w:rsidRPr="00627DA0">
          <w:rPr>
            <w:webHidden/>
          </w:rPr>
        </w:r>
        <w:r w:rsidRPr="00627DA0">
          <w:rPr>
            <w:webHidden/>
          </w:rPr>
          <w:fldChar w:fldCharType="separate"/>
        </w:r>
        <w:r w:rsidRPr="00627DA0">
          <w:rPr>
            <w:webHidden/>
          </w:rPr>
          <w:t>53</w:t>
        </w:r>
        <w:r w:rsidRPr="00627DA0">
          <w:rPr>
            <w:webHidden/>
          </w:rPr>
          <w:fldChar w:fldCharType="end"/>
        </w:r>
      </w:hyperlink>
    </w:p>
    <w:p w14:paraId="67B49407" w14:textId="3FCAD67B"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2" w:history="1">
        <w:r w:rsidRPr="00627DA0">
          <w:rPr>
            <w:rStyle w:val="Hyperlink"/>
          </w:rPr>
          <w:t>Table 23: Cost-Effective Agricultural Potential by End Use (MWh)</w:t>
        </w:r>
        <w:r w:rsidRPr="00627DA0">
          <w:rPr>
            <w:webHidden/>
          </w:rPr>
          <w:tab/>
        </w:r>
        <w:r w:rsidRPr="00627DA0">
          <w:rPr>
            <w:webHidden/>
          </w:rPr>
          <w:fldChar w:fldCharType="begin"/>
        </w:r>
        <w:r w:rsidRPr="00627DA0">
          <w:rPr>
            <w:webHidden/>
          </w:rPr>
          <w:instrText xml:space="preserve"> PAGEREF _Toc207870752 \h </w:instrText>
        </w:r>
        <w:r w:rsidRPr="00627DA0">
          <w:rPr>
            <w:webHidden/>
          </w:rPr>
        </w:r>
        <w:r w:rsidRPr="00627DA0">
          <w:rPr>
            <w:webHidden/>
          </w:rPr>
          <w:fldChar w:fldCharType="separate"/>
        </w:r>
        <w:r w:rsidRPr="00627DA0">
          <w:rPr>
            <w:webHidden/>
          </w:rPr>
          <w:t>53</w:t>
        </w:r>
        <w:r w:rsidRPr="00627DA0">
          <w:rPr>
            <w:webHidden/>
          </w:rPr>
          <w:fldChar w:fldCharType="end"/>
        </w:r>
      </w:hyperlink>
    </w:p>
    <w:p w14:paraId="159FB7B9" w14:textId="1965A041"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3" w:history="1">
        <w:r w:rsidRPr="00627DA0">
          <w:rPr>
            <w:rStyle w:val="Hyperlink"/>
          </w:rPr>
          <w:t>Table 24: Alignment of Residential Program History and Potential by Measure Category (MWh)</w:t>
        </w:r>
        <w:r w:rsidRPr="00627DA0">
          <w:rPr>
            <w:webHidden/>
          </w:rPr>
          <w:tab/>
        </w:r>
        <w:r w:rsidRPr="00627DA0">
          <w:rPr>
            <w:webHidden/>
          </w:rPr>
          <w:fldChar w:fldCharType="begin"/>
        </w:r>
        <w:r w:rsidRPr="00627DA0">
          <w:rPr>
            <w:webHidden/>
          </w:rPr>
          <w:instrText xml:space="preserve"> PAGEREF _Toc207870753 \h </w:instrText>
        </w:r>
        <w:r w:rsidRPr="00627DA0">
          <w:rPr>
            <w:webHidden/>
          </w:rPr>
        </w:r>
        <w:r w:rsidRPr="00627DA0">
          <w:rPr>
            <w:webHidden/>
          </w:rPr>
          <w:fldChar w:fldCharType="separate"/>
        </w:r>
        <w:r w:rsidRPr="00627DA0">
          <w:rPr>
            <w:webHidden/>
          </w:rPr>
          <w:t>55</w:t>
        </w:r>
        <w:r w:rsidRPr="00627DA0">
          <w:rPr>
            <w:webHidden/>
          </w:rPr>
          <w:fldChar w:fldCharType="end"/>
        </w:r>
      </w:hyperlink>
    </w:p>
    <w:p w14:paraId="2B57EC41" w14:textId="1E2A3991"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4" w:history="1">
        <w:r w:rsidRPr="00627DA0">
          <w:rPr>
            <w:rStyle w:val="Hyperlink"/>
          </w:rPr>
          <w:t>Table 25: Alignment of Residential Program History and Potential by End Use (MWh)</w:t>
        </w:r>
        <w:r w:rsidRPr="00627DA0">
          <w:rPr>
            <w:webHidden/>
          </w:rPr>
          <w:tab/>
        </w:r>
        <w:r w:rsidRPr="00627DA0">
          <w:rPr>
            <w:webHidden/>
          </w:rPr>
          <w:fldChar w:fldCharType="begin"/>
        </w:r>
        <w:r w:rsidRPr="00627DA0">
          <w:rPr>
            <w:webHidden/>
          </w:rPr>
          <w:instrText xml:space="preserve"> PAGEREF _Toc207870754 \h </w:instrText>
        </w:r>
        <w:r w:rsidRPr="00627DA0">
          <w:rPr>
            <w:webHidden/>
          </w:rPr>
        </w:r>
        <w:r w:rsidRPr="00627DA0">
          <w:rPr>
            <w:webHidden/>
          </w:rPr>
          <w:fldChar w:fldCharType="separate"/>
        </w:r>
        <w:r w:rsidRPr="00627DA0">
          <w:rPr>
            <w:webHidden/>
          </w:rPr>
          <w:t>57</w:t>
        </w:r>
        <w:r w:rsidRPr="00627DA0">
          <w:rPr>
            <w:webHidden/>
          </w:rPr>
          <w:fldChar w:fldCharType="end"/>
        </w:r>
      </w:hyperlink>
    </w:p>
    <w:p w14:paraId="670F4E5B" w14:textId="75975BAA"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5" w:history="1">
        <w:r w:rsidRPr="00627DA0">
          <w:rPr>
            <w:rStyle w:val="Hyperlink"/>
          </w:rPr>
          <w:t>Table 26: Alignment of Commercial Program History and Potential by End Use (MWh)</w:t>
        </w:r>
        <w:r w:rsidRPr="00627DA0">
          <w:rPr>
            <w:webHidden/>
          </w:rPr>
          <w:tab/>
        </w:r>
        <w:r w:rsidRPr="00627DA0">
          <w:rPr>
            <w:webHidden/>
          </w:rPr>
          <w:fldChar w:fldCharType="begin"/>
        </w:r>
        <w:r w:rsidRPr="00627DA0">
          <w:rPr>
            <w:webHidden/>
          </w:rPr>
          <w:instrText xml:space="preserve"> PAGEREF _Toc207870755 \h </w:instrText>
        </w:r>
        <w:r w:rsidRPr="00627DA0">
          <w:rPr>
            <w:webHidden/>
          </w:rPr>
        </w:r>
        <w:r w:rsidRPr="00627DA0">
          <w:rPr>
            <w:webHidden/>
          </w:rPr>
          <w:fldChar w:fldCharType="separate"/>
        </w:r>
        <w:r w:rsidRPr="00627DA0">
          <w:rPr>
            <w:webHidden/>
          </w:rPr>
          <w:t>58</w:t>
        </w:r>
        <w:r w:rsidRPr="00627DA0">
          <w:rPr>
            <w:webHidden/>
          </w:rPr>
          <w:fldChar w:fldCharType="end"/>
        </w:r>
      </w:hyperlink>
    </w:p>
    <w:p w14:paraId="513DE39B" w14:textId="2360EB8D"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6" w:history="1">
        <w:r w:rsidRPr="00627DA0">
          <w:rPr>
            <w:rStyle w:val="Hyperlink"/>
          </w:rPr>
          <w:t>Table 27: Alignment of Industrial Program History and Potential by End Use (MWh)</w:t>
        </w:r>
        <w:r w:rsidRPr="00627DA0">
          <w:rPr>
            <w:webHidden/>
          </w:rPr>
          <w:tab/>
        </w:r>
        <w:r w:rsidRPr="00627DA0">
          <w:rPr>
            <w:webHidden/>
          </w:rPr>
          <w:fldChar w:fldCharType="begin"/>
        </w:r>
        <w:r w:rsidRPr="00627DA0">
          <w:rPr>
            <w:webHidden/>
          </w:rPr>
          <w:instrText xml:space="preserve"> PAGEREF _Toc207870756 \h </w:instrText>
        </w:r>
        <w:r w:rsidRPr="00627DA0">
          <w:rPr>
            <w:webHidden/>
          </w:rPr>
        </w:r>
        <w:r w:rsidRPr="00627DA0">
          <w:rPr>
            <w:webHidden/>
          </w:rPr>
          <w:fldChar w:fldCharType="separate"/>
        </w:r>
        <w:r w:rsidRPr="00627DA0">
          <w:rPr>
            <w:webHidden/>
          </w:rPr>
          <w:t>58</w:t>
        </w:r>
        <w:r w:rsidRPr="00627DA0">
          <w:rPr>
            <w:webHidden/>
          </w:rPr>
          <w:fldChar w:fldCharType="end"/>
        </w:r>
      </w:hyperlink>
    </w:p>
    <w:p w14:paraId="4E519663" w14:textId="26530243" w:rsidR="00AA2C5B" w:rsidRPr="00627DA0" w:rsidRDefault="00AA2C5B">
      <w:pPr>
        <w:pStyle w:val="TableofFigures"/>
        <w:tabs>
          <w:tab w:val="right" w:leader="dot" w:pos="9350"/>
        </w:tabs>
        <w:rPr>
          <w:rFonts w:asciiTheme="minorHAnsi" w:eastAsiaTheme="minorEastAsia" w:hAnsiTheme="minorHAnsi"/>
          <w:kern w:val="2"/>
          <w:sz w:val="24"/>
          <w:szCs w:val="24"/>
          <w14:ligatures w14:val="standardContextual"/>
        </w:rPr>
      </w:pPr>
      <w:hyperlink w:anchor="_Toc207870757" w:history="1">
        <w:r w:rsidRPr="00627DA0">
          <w:rPr>
            <w:rStyle w:val="Hyperlink"/>
          </w:rPr>
          <w:t>Table 28: Alignment of Distribution System Program History and Potential by End Use (MWh)</w:t>
        </w:r>
        <w:r w:rsidRPr="00627DA0">
          <w:rPr>
            <w:webHidden/>
          </w:rPr>
          <w:tab/>
        </w:r>
        <w:r w:rsidRPr="00627DA0">
          <w:rPr>
            <w:webHidden/>
          </w:rPr>
          <w:fldChar w:fldCharType="begin"/>
        </w:r>
        <w:r w:rsidRPr="00627DA0">
          <w:rPr>
            <w:webHidden/>
          </w:rPr>
          <w:instrText xml:space="preserve"> PAGEREF _Toc207870757 \h </w:instrText>
        </w:r>
        <w:r w:rsidRPr="00627DA0">
          <w:rPr>
            <w:webHidden/>
          </w:rPr>
        </w:r>
        <w:r w:rsidRPr="00627DA0">
          <w:rPr>
            <w:webHidden/>
          </w:rPr>
          <w:fldChar w:fldCharType="separate"/>
        </w:r>
        <w:r w:rsidRPr="00627DA0">
          <w:rPr>
            <w:webHidden/>
          </w:rPr>
          <w:t>59</w:t>
        </w:r>
        <w:r w:rsidRPr="00627DA0">
          <w:rPr>
            <w:webHidden/>
          </w:rPr>
          <w:fldChar w:fldCharType="end"/>
        </w:r>
      </w:hyperlink>
    </w:p>
    <w:p w14:paraId="1012828C" w14:textId="2B032F14" w:rsidR="00686C59" w:rsidRPr="00627DA0" w:rsidRDefault="0087583C" w:rsidP="009A2BFC">
      <w:r w:rsidRPr="00627DA0">
        <w:rPr>
          <w:b/>
          <w:bCs/>
          <w:sz w:val="21"/>
          <w:szCs w:val="21"/>
        </w:rPr>
        <w:fldChar w:fldCharType="end"/>
      </w:r>
    </w:p>
    <w:p w14:paraId="5FDD29B9" w14:textId="50C903C7" w:rsidR="00E3745B" w:rsidRPr="00627DA0" w:rsidRDefault="00E3745B" w:rsidP="009A2BFC">
      <w:pPr>
        <w:sectPr w:rsidR="00E3745B" w:rsidRPr="00627DA0" w:rsidSect="00E9750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fmt="lowerRoman" w:start="0"/>
          <w:cols w:space="720"/>
          <w:titlePg/>
          <w:docGrid w:linePitch="360"/>
        </w:sectPr>
      </w:pPr>
    </w:p>
    <w:p w14:paraId="47D1CEDF" w14:textId="438E9F63" w:rsidR="009A2BFC" w:rsidRPr="00627DA0" w:rsidRDefault="00DD7AED" w:rsidP="00DD7AED">
      <w:pPr>
        <w:pStyle w:val="Heading1"/>
        <w:rPr>
          <w:rFonts w:cs="Calibri"/>
        </w:rPr>
      </w:pPr>
      <w:bookmarkStart w:id="6" w:name="_Toc207870649"/>
      <w:r w:rsidRPr="00627DA0">
        <w:rPr>
          <w:rFonts w:cs="Calibri"/>
        </w:rPr>
        <w:lastRenderedPageBreak/>
        <w:t>Executive Summary</w:t>
      </w:r>
      <w:bookmarkEnd w:id="6"/>
    </w:p>
    <w:p w14:paraId="6513B289" w14:textId="77777777" w:rsidR="00907A6B" w:rsidRPr="00627DA0" w:rsidRDefault="00907A6B" w:rsidP="00907A6B">
      <w:pPr>
        <w:pStyle w:val="Heading2"/>
        <w:rPr>
          <w:rFonts w:cs="Calibri Light"/>
        </w:rPr>
      </w:pPr>
      <w:bookmarkStart w:id="7" w:name="_Toc207870650"/>
      <w:r w:rsidRPr="00627DA0">
        <w:rPr>
          <w:rFonts w:cs="Calibri Light"/>
        </w:rPr>
        <w:t>Overview</w:t>
      </w:r>
      <w:bookmarkEnd w:id="7"/>
    </w:p>
    <w:p w14:paraId="0D2F5C84" w14:textId="386CFCC6" w:rsidR="00C447A3" w:rsidRPr="00627DA0" w:rsidRDefault="006A2A2F" w:rsidP="00C447A3">
      <w:r w:rsidRPr="00627DA0">
        <w:t xml:space="preserve">This report describes the </w:t>
      </w:r>
      <w:r w:rsidR="00E44988" w:rsidRPr="00627DA0">
        <w:t xml:space="preserve">methodology and results of a conservation potential assessment (CPA) </w:t>
      </w:r>
      <w:r w:rsidR="00F55525" w:rsidRPr="00627DA0">
        <w:t xml:space="preserve">conducted by </w:t>
      </w:r>
      <w:r w:rsidR="005F5F4A" w:rsidRPr="00627DA0">
        <w:t xml:space="preserve">Lighthouse Energy Consulting and Nauvoo Solutions (the project team) </w:t>
      </w:r>
      <w:r w:rsidR="00F55525" w:rsidRPr="00627DA0">
        <w:t xml:space="preserve">for </w:t>
      </w:r>
      <w:r w:rsidR="009B1AF3" w:rsidRPr="00627DA0">
        <w:t>Inland Power &amp; Light Company</w:t>
      </w:r>
      <w:r w:rsidR="002911BF" w:rsidRPr="00627DA0">
        <w:t xml:space="preserve"> (</w:t>
      </w:r>
      <w:r w:rsidR="0032364D" w:rsidRPr="00627DA0">
        <w:t>Inland Power</w:t>
      </w:r>
      <w:r w:rsidR="002911BF" w:rsidRPr="00627DA0">
        <w:t>)</w:t>
      </w:r>
      <w:r w:rsidR="00C447A3" w:rsidRPr="00627DA0">
        <w:t>. Th</w:t>
      </w:r>
      <w:r w:rsidR="00312795" w:rsidRPr="00627DA0">
        <w:t>e</w:t>
      </w:r>
      <w:r w:rsidR="00C447A3" w:rsidRPr="00627DA0">
        <w:t xml:space="preserve"> </w:t>
      </w:r>
      <w:r w:rsidR="007D4E41" w:rsidRPr="00627DA0">
        <w:t>CPA</w:t>
      </w:r>
      <w:r w:rsidR="00C447A3" w:rsidRPr="00627DA0">
        <w:t xml:space="preserve"> </w:t>
      </w:r>
      <w:r w:rsidR="0091728D" w:rsidRPr="00627DA0">
        <w:t>estimate</w:t>
      </w:r>
      <w:r w:rsidR="008D35F2" w:rsidRPr="00627DA0">
        <w:t>d</w:t>
      </w:r>
      <w:r w:rsidR="0091728D" w:rsidRPr="00627DA0">
        <w:t xml:space="preserve"> the </w:t>
      </w:r>
      <w:r w:rsidR="0011274C" w:rsidRPr="00627DA0">
        <w:t>cost-effective</w:t>
      </w:r>
      <w:r w:rsidR="0091728D" w:rsidRPr="00627DA0">
        <w:t xml:space="preserve"> </w:t>
      </w:r>
      <w:r w:rsidR="00EA12CD" w:rsidRPr="00627DA0">
        <w:t xml:space="preserve">energy savings </w:t>
      </w:r>
      <w:r w:rsidR="00B71E9F" w:rsidRPr="00627DA0">
        <w:t xml:space="preserve">potential </w:t>
      </w:r>
      <w:r w:rsidR="00EA12CD" w:rsidRPr="00627DA0">
        <w:t xml:space="preserve">for </w:t>
      </w:r>
      <w:r w:rsidR="002D5C30" w:rsidRPr="00627DA0">
        <w:t>Inland Power’s Washington service area over the</w:t>
      </w:r>
      <w:r w:rsidR="00EA12CD" w:rsidRPr="00627DA0">
        <w:t xml:space="preserve"> period </w:t>
      </w:r>
      <w:r w:rsidR="001A2D96" w:rsidRPr="00627DA0">
        <w:t>o</w:t>
      </w:r>
      <w:r w:rsidR="00EA12CD" w:rsidRPr="00627DA0">
        <w:t>f 202</w:t>
      </w:r>
      <w:r w:rsidR="00BB5F56" w:rsidRPr="00627DA0">
        <w:t>6</w:t>
      </w:r>
      <w:r w:rsidR="00EA12CD" w:rsidRPr="00627DA0">
        <w:t xml:space="preserve"> to 2045</w:t>
      </w:r>
      <w:r w:rsidR="00326921" w:rsidRPr="00627DA0">
        <w:t>.</w:t>
      </w:r>
      <w:r w:rsidR="00C4511B" w:rsidRPr="00627DA0">
        <w:t xml:space="preserve"> This report</w:t>
      </w:r>
      <w:r w:rsidR="00B55720" w:rsidRPr="00627DA0">
        <w:t xml:space="preserve"> </w:t>
      </w:r>
      <w:r w:rsidR="001F5472" w:rsidRPr="00627DA0">
        <w:t>describes</w:t>
      </w:r>
      <w:r w:rsidR="00B55720" w:rsidRPr="00627DA0">
        <w:t xml:space="preserve"> the results </w:t>
      </w:r>
      <w:r w:rsidR="001F5472" w:rsidRPr="00627DA0">
        <w:t xml:space="preserve">of the full </w:t>
      </w:r>
      <w:r w:rsidR="002F150A" w:rsidRPr="00627DA0">
        <w:t>2</w:t>
      </w:r>
      <w:r w:rsidR="00BB5F56" w:rsidRPr="00627DA0">
        <w:t>0</w:t>
      </w:r>
      <w:r w:rsidR="002F150A" w:rsidRPr="00627DA0">
        <w:t>-year period</w:t>
      </w:r>
      <w:r w:rsidR="002D026E" w:rsidRPr="00627DA0">
        <w:t>, wi</w:t>
      </w:r>
      <w:r w:rsidR="00F773AC" w:rsidRPr="00627DA0">
        <w:t xml:space="preserve">th additional </w:t>
      </w:r>
      <w:r w:rsidR="007D681B" w:rsidRPr="00627DA0">
        <w:t>detail</w:t>
      </w:r>
      <w:r w:rsidR="00F773AC" w:rsidRPr="00627DA0">
        <w:t xml:space="preserve"> </w:t>
      </w:r>
      <w:r w:rsidR="008062C2" w:rsidRPr="00627DA0">
        <w:t>on the 2-</w:t>
      </w:r>
      <w:r w:rsidR="00416E51" w:rsidRPr="00627DA0">
        <w:t xml:space="preserve"> </w:t>
      </w:r>
      <w:r w:rsidR="008062C2" w:rsidRPr="00627DA0">
        <w:t>and 10-year periods that are the focus of Washington’s Energy Independence Act (EIA)</w:t>
      </w:r>
      <w:r w:rsidR="00DD4E93" w:rsidRPr="00627DA0">
        <w:t xml:space="preserve"> and the </w:t>
      </w:r>
      <w:r w:rsidR="00416E51" w:rsidRPr="00627DA0">
        <w:t xml:space="preserve">4-year </w:t>
      </w:r>
      <w:r w:rsidR="0054072C" w:rsidRPr="00627DA0">
        <w:t>interim compliance</w:t>
      </w:r>
      <w:r w:rsidR="008350AC" w:rsidRPr="00627DA0">
        <w:t xml:space="preserve"> </w:t>
      </w:r>
      <w:r w:rsidR="0029187E" w:rsidRPr="00627DA0">
        <w:t xml:space="preserve">period per </w:t>
      </w:r>
      <w:r w:rsidR="008350AC" w:rsidRPr="00627DA0">
        <w:t>the state’s Clean Energy Transformation Act (CETA).</w:t>
      </w:r>
    </w:p>
    <w:p w14:paraId="4D387409" w14:textId="6F3642FB" w:rsidR="00F262B9" w:rsidRPr="00627DA0" w:rsidRDefault="0032364D" w:rsidP="00F262B9">
      <w:r w:rsidRPr="00627DA0">
        <w:t>Inland Power</w:t>
      </w:r>
      <w:r w:rsidR="00EA1EDA" w:rsidRPr="00627DA0">
        <w:t xml:space="preserve"> </w:t>
      </w:r>
      <w:r w:rsidR="00B71965" w:rsidRPr="00627DA0">
        <w:t>provid</w:t>
      </w:r>
      <w:r w:rsidR="00C73AD4" w:rsidRPr="00627DA0">
        <w:t>es</w:t>
      </w:r>
      <w:r w:rsidR="00EA1EDA" w:rsidRPr="00627DA0">
        <w:t xml:space="preserve"> electricity service to </w:t>
      </w:r>
      <w:r w:rsidR="00F01660" w:rsidRPr="00627DA0">
        <w:t xml:space="preserve">over </w:t>
      </w:r>
      <w:r w:rsidR="007151C8" w:rsidRPr="00627DA0">
        <w:t>4</w:t>
      </w:r>
      <w:r w:rsidR="00CA672F" w:rsidRPr="00627DA0">
        <w:t>4</w:t>
      </w:r>
      <w:r w:rsidR="00ED42B7" w:rsidRPr="00627DA0">
        <w:t>,000</w:t>
      </w:r>
      <w:r w:rsidR="00B71965" w:rsidRPr="00627DA0">
        <w:t xml:space="preserve"> customers</w:t>
      </w:r>
      <w:r w:rsidR="004F3DA1" w:rsidRPr="00627DA0">
        <w:t xml:space="preserve"> in </w:t>
      </w:r>
      <w:r w:rsidR="008C48EB" w:rsidRPr="00627DA0">
        <w:t>east</w:t>
      </w:r>
      <w:r w:rsidR="00AD3770" w:rsidRPr="00627DA0">
        <w:t>ern</w:t>
      </w:r>
      <w:r w:rsidR="004F3DA1" w:rsidRPr="00627DA0">
        <w:t xml:space="preserve"> Washington.</w:t>
      </w:r>
      <w:r w:rsidR="00535007" w:rsidRPr="00627DA0">
        <w:t xml:space="preserve"> Inland Power also provides electric service </w:t>
      </w:r>
      <w:r w:rsidR="00132453" w:rsidRPr="00627DA0">
        <w:t xml:space="preserve">to </w:t>
      </w:r>
      <w:r w:rsidR="00002BC8" w:rsidRPr="00627DA0">
        <w:t xml:space="preserve">a portion of Idaho that is not included in this CPA. </w:t>
      </w:r>
      <w:r w:rsidR="00CF3AD7" w:rsidRPr="00627DA0">
        <w:t xml:space="preserve">Washington’s </w:t>
      </w:r>
      <w:r w:rsidR="008062C2" w:rsidRPr="00627DA0">
        <w:t>EIA</w:t>
      </w:r>
      <w:r w:rsidR="006910D4" w:rsidRPr="00627DA0">
        <w:t xml:space="preserve"> </w:t>
      </w:r>
      <w:r w:rsidR="006F64D2" w:rsidRPr="00627DA0">
        <w:t>requires that u</w:t>
      </w:r>
      <w:r w:rsidR="00043E1F" w:rsidRPr="00627DA0">
        <w:t xml:space="preserve">tilities with more than 25,000 customers </w:t>
      </w:r>
      <w:r w:rsidR="00B84527" w:rsidRPr="00627DA0">
        <w:t xml:space="preserve">identify and acquire all cost-effective energy efficiency </w:t>
      </w:r>
      <w:r w:rsidR="000463D1" w:rsidRPr="00627DA0">
        <w:t xml:space="preserve">resources and meet targets set every two years through a </w:t>
      </w:r>
      <w:r w:rsidR="000A4F0F" w:rsidRPr="00627DA0">
        <w:t>CPA</w:t>
      </w:r>
      <w:r w:rsidR="000463D1" w:rsidRPr="00627DA0">
        <w:t>.</w:t>
      </w:r>
      <w:r w:rsidR="00F66E76" w:rsidRPr="00627DA0">
        <w:t xml:space="preserve"> </w:t>
      </w:r>
      <w:bookmarkStart w:id="8" w:name="_Ref48557424"/>
      <w:bookmarkStart w:id="9" w:name="_Ref61018688"/>
      <w:r w:rsidR="00F262B9" w:rsidRPr="00627DA0">
        <w:t xml:space="preserve">A summary of </w:t>
      </w:r>
      <w:r w:rsidRPr="00627DA0">
        <w:t>Inland Power</w:t>
      </w:r>
      <w:r w:rsidR="00F262B9" w:rsidRPr="00627DA0">
        <w:t xml:space="preserve">’s program achievements since 2012 is shown in </w:t>
      </w:r>
      <w:r w:rsidR="002D4D6D" w:rsidRPr="00627DA0">
        <w:fldChar w:fldCharType="begin"/>
      </w:r>
      <w:r w:rsidR="002D4D6D" w:rsidRPr="00627DA0">
        <w:instrText xml:space="preserve"> REF _Ref206611017 \h </w:instrText>
      </w:r>
      <w:r w:rsidR="002D4D6D" w:rsidRPr="00627DA0">
        <w:fldChar w:fldCharType="separate"/>
      </w:r>
      <w:r w:rsidR="00431297" w:rsidRPr="00627DA0">
        <w:t>Figure 1</w:t>
      </w:r>
      <w:r w:rsidR="002D4D6D" w:rsidRPr="00627DA0">
        <w:fldChar w:fldCharType="end"/>
      </w:r>
      <w:r w:rsidR="00F262B9" w:rsidRPr="00627DA0">
        <w:t>, based on</w:t>
      </w:r>
      <w:r w:rsidR="00A4022E" w:rsidRPr="00627DA0">
        <w:t xml:space="preserve"> </w:t>
      </w:r>
      <w:r w:rsidR="005E0A21" w:rsidRPr="00627DA0">
        <w:t>EIA compliance data reported to Washington’s Department of Commerce</w:t>
      </w:r>
      <w:r w:rsidR="00F262B9" w:rsidRPr="00627DA0">
        <w:t>.</w:t>
      </w:r>
    </w:p>
    <w:p w14:paraId="7C86CE81" w14:textId="3E86387E" w:rsidR="000074EF" w:rsidRPr="00627DA0" w:rsidRDefault="00F66E76" w:rsidP="00F262B9">
      <w:pPr>
        <w:pStyle w:val="Caption"/>
      </w:pPr>
      <w:bookmarkStart w:id="10" w:name="_Ref206611017"/>
      <w:bookmarkStart w:id="11" w:name="_Toc207870700"/>
      <w:r w:rsidRPr="00627DA0">
        <w:t xml:space="preserve">Figure </w:t>
      </w:r>
      <w:fldSimple w:instr=" SEQ Figure \* ARABIC ">
        <w:r w:rsidR="00431297" w:rsidRPr="00627DA0">
          <w:t>1</w:t>
        </w:r>
      </w:fldSimple>
      <w:bookmarkEnd w:id="8"/>
      <w:bookmarkEnd w:id="9"/>
      <w:bookmarkEnd w:id="10"/>
      <w:r w:rsidRPr="00627DA0">
        <w:t>: Historic Targets and Achievements</w:t>
      </w:r>
      <w:r w:rsidR="00925D23" w:rsidRPr="00627DA0">
        <w:t xml:space="preserve"> (MW</w:t>
      </w:r>
      <w:r w:rsidR="002D4D6D" w:rsidRPr="00627DA0">
        <w:t>h</w:t>
      </w:r>
      <w:r w:rsidR="00514D3D" w:rsidRPr="00627DA0">
        <w:t>)</w:t>
      </w:r>
      <w:bookmarkEnd w:id="11"/>
    </w:p>
    <w:p w14:paraId="4817F2B0" w14:textId="7E8ECCCA" w:rsidR="00F66E76" w:rsidRPr="00627DA0" w:rsidRDefault="00AB514D" w:rsidP="00F262B9">
      <w:pPr>
        <w:pStyle w:val="Caption"/>
      </w:pPr>
      <w:r w:rsidRPr="00627DA0">
        <w:drawing>
          <wp:inline distT="0" distB="0" distL="0" distR="0" wp14:anchorId="14A74204" wp14:editId="54D19578">
            <wp:extent cx="5938519" cy="2969260"/>
            <wp:effectExtent l="0" t="0" r="5715" b="2540"/>
            <wp:docPr id="1526197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97903"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38519" cy="2969260"/>
                    </a:xfrm>
                    <a:prstGeom prst="rect">
                      <a:avLst/>
                    </a:prstGeom>
                    <a:noFill/>
                    <a:ln>
                      <a:noFill/>
                    </a:ln>
                  </pic:spPr>
                </pic:pic>
              </a:graphicData>
            </a:graphic>
          </wp:inline>
        </w:drawing>
      </w:r>
    </w:p>
    <w:p w14:paraId="200D2796" w14:textId="13A26C03" w:rsidR="006910D4" w:rsidRPr="00627DA0" w:rsidRDefault="006910D4" w:rsidP="00C447A3">
      <w:r w:rsidRPr="00627DA0">
        <w:t xml:space="preserve">The </w:t>
      </w:r>
      <w:r w:rsidR="001A6C73" w:rsidRPr="00627DA0">
        <w:t>EIA</w:t>
      </w:r>
      <w:r w:rsidR="004D4E98" w:rsidRPr="00627DA0">
        <w:t xml:space="preserve"> </w:t>
      </w:r>
      <w:r w:rsidR="0004516F" w:rsidRPr="00627DA0">
        <w:t>specifies the requirements for setting conservation targets in RCW 19.285.040</w:t>
      </w:r>
      <w:r w:rsidR="006674BB" w:rsidRPr="00627DA0">
        <w:t xml:space="preserve"> and WAC 194-37-070</w:t>
      </w:r>
      <w:r w:rsidR="00A9298A" w:rsidRPr="00627DA0">
        <w:t xml:space="preserve"> Section (5)</w:t>
      </w:r>
      <w:r w:rsidR="004B7B1E" w:rsidRPr="00627DA0">
        <w:t xml:space="preserve">, parts (a) through (d). </w:t>
      </w:r>
      <w:r w:rsidR="007074E4" w:rsidRPr="00627DA0">
        <w:t>Th</w:t>
      </w:r>
      <w:r w:rsidR="00206871" w:rsidRPr="00627DA0">
        <w:t xml:space="preserve">e methodology used in this assessment </w:t>
      </w:r>
      <w:r w:rsidR="003901DE" w:rsidRPr="00627DA0">
        <w:t>complies with these requirements</w:t>
      </w:r>
      <w:r w:rsidR="00C65F62" w:rsidRPr="00627DA0">
        <w:t xml:space="preserve"> and is consistent with the methodology used by the Northwest Power and </w:t>
      </w:r>
      <w:r w:rsidR="00F3314E" w:rsidRPr="00627DA0">
        <w:t xml:space="preserve">Conservation </w:t>
      </w:r>
      <w:r w:rsidR="00C65F62" w:rsidRPr="00627DA0">
        <w:t>Council</w:t>
      </w:r>
      <w:r w:rsidR="00F3314E" w:rsidRPr="00627DA0">
        <w:t xml:space="preserve"> (Council)</w:t>
      </w:r>
      <w:r w:rsidR="00C65F62" w:rsidRPr="00627DA0">
        <w:t xml:space="preserve"> in the </w:t>
      </w:r>
      <w:r w:rsidR="00F12F0A" w:rsidRPr="00627DA0">
        <w:t xml:space="preserve">2021 </w:t>
      </w:r>
      <w:r w:rsidR="00E9357A" w:rsidRPr="00627DA0">
        <w:t xml:space="preserve">Power Plan. </w:t>
      </w:r>
      <w:r w:rsidR="00B36137" w:rsidRPr="00627DA0">
        <w:t xml:space="preserve">Appendix III details the requirements of the EIA and how this assessment fulfills those requirements. </w:t>
      </w:r>
      <w:r w:rsidR="00871823" w:rsidRPr="00627DA0">
        <w:t xml:space="preserve">Washington’s </w:t>
      </w:r>
      <w:r w:rsidR="00D53313" w:rsidRPr="00627DA0">
        <w:t xml:space="preserve">CETA </w:t>
      </w:r>
      <w:r w:rsidR="00C15884" w:rsidRPr="00627DA0">
        <w:t>includes an</w:t>
      </w:r>
      <w:r w:rsidR="007F7108" w:rsidRPr="00627DA0">
        <w:t xml:space="preserve"> additional requirement for </w:t>
      </w:r>
      <w:r w:rsidR="00307FBB" w:rsidRPr="00627DA0">
        <w:t>CPAs</w:t>
      </w:r>
      <w:r w:rsidR="007F7108" w:rsidRPr="00627DA0">
        <w:t>; namely</w:t>
      </w:r>
      <w:r w:rsidR="00D63367" w:rsidRPr="00627DA0">
        <w:t>,</w:t>
      </w:r>
      <w:r w:rsidR="007F7108" w:rsidRPr="00627DA0">
        <w:t xml:space="preserve"> that the</w:t>
      </w:r>
      <w:r w:rsidR="00305DB1" w:rsidRPr="00627DA0">
        <w:t xml:space="preserve"> assessment of cost-effectiveness use specific values for the social cost of carbon.</w:t>
      </w:r>
    </w:p>
    <w:p w14:paraId="64834909" w14:textId="2181925D" w:rsidR="004B0919" w:rsidRPr="00627DA0" w:rsidRDefault="004B0919" w:rsidP="004B0919">
      <w:r w:rsidRPr="00627DA0">
        <w:lastRenderedPageBreak/>
        <w:t>Th</w:t>
      </w:r>
      <w:r w:rsidR="00C338C4" w:rsidRPr="00627DA0">
        <w:t>is</w:t>
      </w:r>
      <w:r w:rsidRPr="00627DA0">
        <w:t xml:space="preserve"> </w:t>
      </w:r>
      <w:r w:rsidR="00C45D00" w:rsidRPr="00627DA0">
        <w:t>CPA</w:t>
      </w:r>
      <w:r w:rsidRPr="00627DA0">
        <w:t xml:space="preserve"> </w:t>
      </w:r>
      <w:r w:rsidR="00E53679" w:rsidRPr="00627DA0">
        <w:t xml:space="preserve">used much of </w:t>
      </w:r>
      <w:r w:rsidR="008A24A9" w:rsidRPr="00627DA0">
        <w:t xml:space="preserve">the 2021 Power Plan materials, with </w:t>
      </w:r>
      <w:r w:rsidR="00043E83" w:rsidRPr="00627DA0">
        <w:t xml:space="preserve">customizations to make the results specific to </w:t>
      </w:r>
      <w:r w:rsidR="0032364D" w:rsidRPr="00627DA0">
        <w:t>Inland Power</w:t>
      </w:r>
      <w:r w:rsidR="00A74C26" w:rsidRPr="00627DA0">
        <w:t>’s service territory and customers</w:t>
      </w:r>
      <w:r w:rsidR="00376A50" w:rsidRPr="00627DA0">
        <w:t>.</w:t>
      </w:r>
      <w:r w:rsidR="0011723F" w:rsidRPr="00627DA0">
        <w:t xml:space="preserve"> Notable changes in this CPA relative to </w:t>
      </w:r>
      <w:r w:rsidR="0032364D" w:rsidRPr="00627DA0">
        <w:t>Inland Power</w:t>
      </w:r>
      <w:r w:rsidR="0011723F" w:rsidRPr="00627DA0">
        <w:t>’s previous assessment include the following:</w:t>
      </w:r>
    </w:p>
    <w:p w14:paraId="6704E26B" w14:textId="2036B40E" w:rsidR="00E92CDE" w:rsidRPr="00627DA0" w:rsidRDefault="005B092D" w:rsidP="0029690F">
      <w:pPr>
        <w:pStyle w:val="ListParagraph"/>
        <w:numPr>
          <w:ilvl w:val="0"/>
          <w:numId w:val="3"/>
        </w:numPr>
      </w:pPr>
      <w:r w:rsidRPr="00627DA0">
        <w:t>Energy Efficiency Measures</w:t>
      </w:r>
    </w:p>
    <w:p w14:paraId="14CE64DD" w14:textId="389D6FD3" w:rsidR="00E92CDE" w:rsidRPr="00627DA0" w:rsidRDefault="006F4092" w:rsidP="00E92CDE">
      <w:pPr>
        <w:pStyle w:val="ListParagraph"/>
        <w:numPr>
          <w:ilvl w:val="1"/>
          <w:numId w:val="3"/>
        </w:numPr>
      </w:pPr>
      <w:r w:rsidRPr="00627DA0">
        <w:t>M</w:t>
      </w:r>
      <w:r w:rsidR="005B092D" w:rsidRPr="00627DA0">
        <w:t xml:space="preserve">easure savings, costs, and other characteristics </w:t>
      </w:r>
      <w:r w:rsidR="000C0E62" w:rsidRPr="00627DA0">
        <w:t xml:space="preserve">were </w:t>
      </w:r>
      <w:r w:rsidR="005B092D" w:rsidRPr="00627DA0">
        <w:t>update</w:t>
      </w:r>
      <w:r w:rsidR="000C0E62" w:rsidRPr="00627DA0">
        <w:t>d</w:t>
      </w:r>
      <w:r w:rsidR="005B092D" w:rsidRPr="00627DA0">
        <w:t xml:space="preserve"> </w:t>
      </w:r>
      <w:r w:rsidR="00D96F1E" w:rsidRPr="00627DA0">
        <w:t xml:space="preserve">based on new information </w:t>
      </w:r>
      <w:r w:rsidR="0000740E" w:rsidRPr="00627DA0">
        <w:t>from</w:t>
      </w:r>
      <w:r w:rsidR="005B092D" w:rsidRPr="00627DA0">
        <w:t xml:space="preserve"> the Regional Technical Forum (RTF)</w:t>
      </w:r>
      <w:r w:rsidR="007866FD" w:rsidRPr="00627DA0">
        <w:t>.</w:t>
      </w:r>
      <w:r w:rsidR="0000740E" w:rsidRPr="00627DA0">
        <w:t xml:space="preserve"> </w:t>
      </w:r>
      <w:r w:rsidR="00DB3E33" w:rsidRPr="00627DA0">
        <w:t xml:space="preserve">Multiple measures were updated across the assessment, </w:t>
      </w:r>
      <w:r w:rsidR="006E6F6E" w:rsidRPr="00627DA0">
        <w:t xml:space="preserve">generally resulting in decreases in </w:t>
      </w:r>
      <w:r w:rsidR="000D79F4" w:rsidRPr="00627DA0">
        <w:t xml:space="preserve">the cost-effective </w:t>
      </w:r>
      <w:r w:rsidR="006E6F6E" w:rsidRPr="00627DA0">
        <w:t xml:space="preserve">potential. </w:t>
      </w:r>
    </w:p>
    <w:p w14:paraId="6AC68AAB" w14:textId="76059F70" w:rsidR="00081D2B" w:rsidRPr="00627DA0" w:rsidRDefault="00081D2B" w:rsidP="00D472BC">
      <w:pPr>
        <w:pStyle w:val="ListParagraph"/>
        <w:keepNext/>
        <w:numPr>
          <w:ilvl w:val="0"/>
          <w:numId w:val="3"/>
        </w:numPr>
      </w:pPr>
      <w:r w:rsidRPr="00627DA0">
        <w:t>Avoided Costs</w:t>
      </w:r>
    </w:p>
    <w:p w14:paraId="4FFC7857" w14:textId="0D9EDDCC" w:rsidR="00081D2B" w:rsidRPr="00627DA0" w:rsidRDefault="0022715C" w:rsidP="00081D2B">
      <w:pPr>
        <w:pStyle w:val="ListParagraph"/>
        <w:keepNext/>
        <w:numPr>
          <w:ilvl w:val="1"/>
          <w:numId w:val="3"/>
        </w:numPr>
      </w:pPr>
      <w:r w:rsidRPr="00627DA0">
        <w:t>The assessment incorporated an u</w:t>
      </w:r>
      <w:r w:rsidR="00081D2B" w:rsidRPr="00627DA0">
        <w:t xml:space="preserve">pdated </w:t>
      </w:r>
      <w:r w:rsidR="001157E4" w:rsidRPr="00627DA0">
        <w:t>market prices forecast</w:t>
      </w:r>
      <w:r w:rsidRPr="00627DA0">
        <w:t xml:space="preserve"> that</w:t>
      </w:r>
      <w:r w:rsidR="001157E4" w:rsidRPr="00627DA0">
        <w:t xml:space="preserve"> </w:t>
      </w:r>
      <w:r w:rsidRPr="00627DA0">
        <w:t>is</w:t>
      </w:r>
      <w:r w:rsidR="001157E4" w:rsidRPr="00627DA0">
        <w:t xml:space="preserve"> significantly lower than what was used in the 2023 CPA</w:t>
      </w:r>
      <w:r w:rsidRPr="00627DA0">
        <w:t>.</w:t>
      </w:r>
    </w:p>
    <w:p w14:paraId="236CD759" w14:textId="6EB32CB2" w:rsidR="00D82BBF" w:rsidRPr="00627DA0" w:rsidRDefault="00D82BBF" w:rsidP="00D472BC">
      <w:pPr>
        <w:pStyle w:val="ListParagraph"/>
        <w:keepNext/>
        <w:numPr>
          <w:ilvl w:val="0"/>
          <w:numId w:val="3"/>
        </w:numPr>
      </w:pPr>
      <w:r w:rsidRPr="00627DA0">
        <w:t>Customer Characteristics</w:t>
      </w:r>
    </w:p>
    <w:p w14:paraId="1FD6C875" w14:textId="54323BDC" w:rsidR="00034448" w:rsidRPr="00627DA0" w:rsidRDefault="003A4D14" w:rsidP="0054090E">
      <w:pPr>
        <w:pStyle w:val="ListParagraph"/>
        <w:numPr>
          <w:ilvl w:val="1"/>
          <w:numId w:val="3"/>
        </w:numPr>
      </w:pPr>
      <w:r w:rsidRPr="00627DA0">
        <w:t xml:space="preserve">Residential equipment saturations were updated with </w:t>
      </w:r>
      <w:r w:rsidR="00B86CFD" w:rsidRPr="00627DA0">
        <w:t xml:space="preserve">2022 </w:t>
      </w:r>
      <w:r w:rsidR="0059450C" w:rsidRPr="00627DA0">
        <w:t xml:space="preserve">Northwest Energy Efficiency Alliance (NEEA) Residential Building Stock Assessment (RBSA) </w:t>
      </w:r>
      <w:r w:rsidR="00B86CFD" w:rsidRPr="00627DA0">
        <w:t>data</w:t>
      </w:r>
      <w:r w:rsidR="00DD0250" w:rsidRPr="00627DA0">
        <w:t xml:space="preserve"> when 2020 </w:t>
      </w:r>
      <w:r w:rsidR="00463023" w:rsidRPr="00627DA0">
        <w:t xml:space="preserve">Inland Power survey data was unavailable. This update </w:t>
      </w:r>
      <w:r w:rsidR="00490C45" w:rsidRPr="00627DA0">
        <w:t>had minimal impact on the overall potential.</w:t>
      </w:r>
    </w:p>
    <w:p w14:paraId="17FB9590" w14:textId="0456A74A" w:rsidR="00EE303A" w:rsidRPr="00627DA0" w:rsidRDefault="00462A40" w:rsidP="0054090E">
      <w:pPr>
        <w:pStyle w:val="ListParagraph"/>
        <w:numPr>
          <w:ilvl w:val="1"/>
          <w:numId w:val="3"/>
        </w:numPr>
      </w:pPr>
      <w:r w:rsidRPr="00627DA0">
        <w:t xml:space="preserve">Customer counts and </w:t>
      </w:r>
      <w:r w:rsidR="005F08D3" w:rsidRPr="00627DA0">
        <w:t>loads were updated using publicly available data and Inland Power provided nonresidential account sales for 2024</w:t>
      </w:r>
      <w:r w:rsidR="00A13095" w:rsidRPr="00627DA0">
        <w:t>.</w:t>
      </w:r>
      <w:r w:rsidR="009E7DA8" w:rsidRPr="00627DA0">
        <w:t xml:space="preserve"> </w:t>
      </w:r>
      <w:r w:rsidR="0072114F" w:rsidRPr="00627DA0">
        <w:t>Residential</w:t>
      </w:r>
      <w:r w:rsidR="00CB4C8F" w:rsidRPr="00627DA0">
        <w:t xml:space="preserve"> and commercial</w:t>
      </w:r>
      <w:r w:rsidR="0072114F" w:rsidRPr="00627DA0">
        <w:t xml:space="preserve"> </w:t>
      </w:r>
      <w:r w:rsidR="00CB4C8F" w:rsidRPr="00627DA0">
        <w:t>sales and customer forecasts</w:t>
      </w:r>
      <w:r w:rsidR="0072114F" w:rsidRPr="00627DA0">
        <w:t xml:space="preserve"> were </w:t>
      </w:r>
      <w:r w:rsidR="00F72916" w:rsidRPr="00627DA0">
        <w:t xml:space="preserve">fairly consistent between the two studies, </w:t>
      </w:r>
      <w:r w:rsidR="008D398B" w:rsidRPr="00627DA0">
        <w:t xml:space="preserve">while </w:t>
      </w:r>
      <w:r w:rsidR="00C95EDE" w:rsidRPr="00627DA0">
        <w:t xml:space="preserve">the industrial sector </w:t>
      </w:r>
      <w:r w:rsidR="005F65EE" w:rsidRPr="00627DA0">
        <w:t xml:space="preserve">sales increased relative to the 2023 CPA. </w:t>
      </w:r>
    </w:p>
    <w:p w14:paraId="1F140A6A" w14:textId="37770E7A" w:rsidR="00E90797" w:rsidRPr="00627DA0" w:rsidRDefault="00E90797" w:rsidP="00E90797">
      <w:pPr>
        <w:pStyle w:val="ListParagraph"/>
        <w:numPr>
          <w:ilvl w:val="0"/>
          <w:numId w:val="3"/>
        </w:numPr>
      </w:pPr>
      <w:r w:rsidRPr="00627DA0">
        <w:t>Program Impacts</w:t>
      </w:r>
    </w:p>
    <w:p w14:paraId="2599661C" w14:textId="0AD4639B" w:rsidR="00FD45D8" w:rsidRPr="00627DA0" w:rsidRDefault="0032364D" w:rsidP="00D82BBF">
      <w:pPr>
        <w:pStyle w:val="ListParagraph"/>
        <w:numPr>
          <w:ilvl w:val="1"/>
          <w:numId w:val="3"/>
        </w:numPr>
      </w:pPr>
      <w:r w:rsidRPr="00627DA0">
        <w:t>Inland Power</w:t>
      </w:r>
      <w:r w:rsidR="00077AA4" w:rsidRPr="00627DA0">
        <w:t xml:space="preserve">’s recent </w:t>
      </w:r>
      <w:r w:rsidR="00A6739A" w:rsidRPr="00627DA0">
        <w:t xml:space="preserve">conservation </w:t>
      </w:r>
      <w:r w:rsidR="00077AA4" w:rsidRPr="00627DA0">
        <w:t>program achievements</w:t>
      </w:r>
      <w:r w:rsidR="00C57782" w:rsidRPr="00627DA0">
        <w:t xml:space="preserve"> </w:t>
      </w:r>
      <w:r w:rsidR="00A37D4D" w:rsidRPr="00627DA0">
        <w:t xml:space="preserve">were incorporated </w:t>
      </w:r>
      <w:r w:rsidR="00C57782" w:rsidRPr="00627DA0">
        <w:t xml:space="preserve">to account for </w:t>
      </w:r>
      <w:r w:rsidR="00537134" w:rsidRPr="00627DA0">
        <w:t xml:space="preserve">what was already accomplished and </w:t>
      </w:r>
      <w:r w:rsidR="00A13095" w:rsidRPr="00627DA0">
        <w:t xml:space="preserve">inform near-term potential. </w:t>
      </w:r>
    </w:p>
    <w:p w14:paraId="6E0D8C21" w14:textId="586AFB9F" w:rsidR="00A00AB2" w:rsidRPr="00627DA0" w:rsidRDefault="00A00AB2" w:rsidP="00A00AB2">
      <w:pPr>
        <w:pStyle w:val="Heading2"/>
      </w:pPr>
      <w:bookmarkStart w:id="12" w:name="_Toc207870651"/>
      <w:r w:rsidRPr="00627DA0">
        <w:t>Results</w:t>
      </w:r>
      <w:bookmarkEnd w:id="12"/>
    </w:p>
    <w:p w14:paraId="48528244" w14:textId="3B58021F" w:rsidR="0073433A" w:rsidRPr="00627DA0" w:rsidRDefault="00B1765D" w:rsidP="002B33D5">
      <w:r w:rsidRPr="00627DA0">
        <w:fldChar w:fldCharType="begin"/>
      </w:r>
      <w:r w:rsidRPr="00627DA0">
        <w:instrText xml:space="preserve"> REF _Ref61018804 \h </w:instrText>
      </w:r>
      <w:r w:rsidRPr="00627DA0">
        <w:fldChar w:fldCharType="separate"/>
      </w:r>
      <w:r w:rsidR="00431297" w:rsidRPr="00627DA0">
        <w:t>Figure 2</w:t>
      </w:r>
      <w:r w:rsidRPr="00627DA0">
        <w:fldChar w:fldCharType="end"/>
      </w:r>
      <w:r w:rsidRPr="00627DA0">
        <w:t xml:space="preserve"> and </w:t>
      </w:r>
      <w:r w:rsidRPr="00627DA0">
        <w:fldChar w:fldCharType="begin"/>
      </w:r>
      <w:r w:rsidRPr="00627DA0">
        <w:instrText xml:space="preserve"> REF _Ref61018838 \h </w:instrText>
      </w:r>
      <w:r w:rsidRPr="00627DA0">
        <w:fldChar w:fldCharType="separate"/>
      </w:r>
      <w:r w:rsidR="00431297" w:rsidRPr="00627DA0">
        <w:t>Table 1</w:t>
      </w:r>
      <w:r w:rsidRPr="00627DA0">
        <w:fldChar w:fldCharType="end"/>
      </w:r>
      <w:r w:rsidR="00D20A25" w:rsidRPr="00627DA0">
        <w:t xml:space="preserve"> show the </w:t>
      </w:r>
      <w:r w:rsidR="006754DE" w:rsidRPr="00627DA0">
        <w:t>cost-effective</w:t>
      </w:r>
      <w:r w:rsidR="00216932" w:rsidRPr="00627DA0">
        <w:t xml:space="preserve"> </w:t>
      </w:r>
      <w:r w:rsidR="005316BD" w:rsidRPr="00627DA0">
        <w:t xml:space="preserve">energy efficiency </w:t>
      </w:r>
      <w:r w:rsidR="00D20A25" w:rsidRPr="00627DA0">
        <w:t>potential by sector</w:t>
      </w:r>
      <w:r w:rsidR="000C4199" w:rsidRPr="00627DA0">
        <w:t xml:space="preserve"> </w:t>
      </w:r>
      <w:r w:rsidR="00A938F3" w:rsidRPr="00627DA0">
        <w:t xml:space="preserve">over </w:t>
      </w:r>
      <w:r w:rsidR="000C4199" w:rsidRPr="00627DA0">
        <w:t>2</w:t>
      </w:r>
      <w:r w:rsidR="00051006" w:rsidRPr="00627DA0">
        <w:t>-</w:t>
      </w:r>
      <w:r w:rsidR="000C4199" w:rsidRPr="00627DA0">
        <w:t xml:space="preserve">, </w:t>
      </w:r>
      <w:r w:rsidR="009A4971" w:rsidRPr="00627DA0">
        <w:t xml:space="preserve">4-, </w:t>
      </w:r>
      <w:r w:rsidR="000C4199" w:rsidRPr="00627DA0">
        <w:t>10</w:t>
      </w:r>
      <w:r w:rsidR="000D0D3A" w:rsidRPr="00627DA0">
        <w:t>-</w:t>
      </w:r>
      <w:r w:rsidR="00A938F3" w:rsidRPr="00627DA0">
        <w:t>,</w:t>
      </w:r>
      <w:r w:rsidR="009A4971" w:rsidRPr="00627DA0">
        <w:t xml:space="preserve"> and</w:t>
      </w:r>
      <w:r w:rsidR="00017861" w:rsidRPr="00627DA0">
        <w:t xml:space="preserve"> 20</w:t>
      </w:r>
      <w:r w:rsidR="000D0D3A" w:rsidRPr="00627DA0">
        <w:t>-</w:t>
      </w:r>
      <w:r w:rsidR="00A938F3" w:rsidRPr="00627DA0">
        <w:t xml:space="preserve">year periods. </w:t>
      </w:r>
      <w:r w:rsidR="006A405E" w:rsidRPr="00627DA0">
        <w:t>Over the 2</w:t>
      </w:r>
      <w:r w:rsidR="0020570B" w:rsidRPr="00627DA0">
        <w:t>0</w:t>
      </w:r>
      <w:r w:rsidR="006A405E" w:rsidRPr="00627DA0">
        <w:t xml:space="preserve">-year planning period, </w:t>
      </w:r>
      <w:r w:rsidR="0032364D" w:rsidRPr="00627DA0">
        <w:t>Inland Power</w:t>
      </w:r>
      <w:r w:rsidR="006A405E" w:rsidRPr="00627DA0">
        <w:t xml:space="preserve"> </w:t>
      </w:r>
      <w:r w:rsidR="00744F86" w:rsidRPr="00627DA0">
        <w:t>has</w:t>
      </w:r>
      <w:r w:rsidR="006A405E" w:rsidRPr="00627DA0">
        <w:t xml:space="preserve"> </w:t>
      </w:r>
      <w:r w:rsidR="005C7743" w:rsidRPr="00627DA0">
        <w:t>nearly</w:t>
      </w:r>
      <w:r w:rsidR="001B6FD1" w:rsidRPr="00627DA0">
        <w:t xml:space="preserve"> </w:t>
      </w:r>
      <w:r w:rsidR="00F063D4" w:rsidRPr="00627DA0">
        <w:t>1</w:t>
      </w:r>
      <w:r w:rsidR="006B342F" w:rsidRPr="00627DA0">
        <w:t>90</w:t>
      </w:r>
      <w:r w:rsidR="00F063D4" w:rsidRPr="00627DA0">
        <w:t>,000</w:t>
      </w:r>
      <w:r w:rsidR="006A405E" w:rsidRPr="00627DA0">
        <w:t xml:space="preserve"> MW</w:t>
      </w:r>
      <w:r w:rsidR="00F063D4" w:rsidRPr="00627DA0">
        <w:t>h</w:t>
      </w:r>
      <w:r w:rsidR="006A405E" w:rsidRPr="00627DA0">
        <w:t xml:space="preserve"> of </w:t>
      </w:r>
      <w:r w:rsidR="00606746" w:rsidRPr="00627DA0">
        <w:t>cost-effective</w:t>
      </w:r>
      <w:r w:rsidR="00744F86" w:rsidRPr="00627DA0">
        <w:t xml:space="preserve"> </w:t>
      </w:r>
      <w:r w:rsidR="002D1C5C" w:rsidRPr="00627DA0">
        <w:t>conservation</w:t>
      </w:r>
      <w:r w:rsidR="00744F86" w:rsidRPr="00627DA0">
        <w:t xml:space="preserve"> available</w:t>
      </w:r>
      <w:r w:rsidR="00807D8E" w:rsidRPr="00627DA0">
        <w:t xml:space="preserve">, which is approximately </w:t>
      </w:r>
      <w:r w:rsidR="008E53AC" w:rsidRPr="00627DA0">
        <w:t>1</w:t>
      </w:r>
      <w:r w:rsidR="006B342F" w:rsidRPr="00627DA0">
        <w:t>0</w:t>
      </w:r>
      <w:r w:rsidR="00807D8E" w:rsidRPr="00627DA0">
        <w:t>% of its projected 20</w:t>
      </w:r>
      <w:r w:rsidR="000C4556" w:rsidRPr="00627DA0">
        <w:t>4</w:t>
      </w:r>
      <w:r w:rsidR="008E35F9" w:rsidRPr="00627DA0">
        <w:t>5</w:t>
      </w:r>
      <w:r w:rsidR="00807D8E" w:rsidRPr="00627DA0">
        <w:t xml:space="preserve"> load.</w:t>
      </w:r>
      <w:r w:rsidR="00962EF1" w:rsidRPr="00627DA0">
        <w:t xml:space="preserve"> </w:t>
      </w:r>
      <w:r w:rsidR="002F29E1" w:rsidRPr="00627DA0">
        <w:t>T</w:t>
      </w:r>
      <w:r w:rsidR="00962EF1" w:rsidRPr="00627DA0">
        <w:t xml:space="preserve">he </w:t>
      </w:r>
      <w:r w:rsidR="002F29E1" w:rsidRPr="00627DA0">
        <w:t xml:space="preserve">EIA </w:t>
      </w:r>
      <w:r w:rsidR="0083295C" w:rsidRPr="00627DA0">
        <w:t xml:space="preserve">focuses on the </w:t>
      </w:r>
      <w:r w:rsidR="00962EF1" w:rsidRPr="00627DA0">
        <w:t>2-</w:t>
      </w:r>
      <w:r w:rsidR="000D0D3A" w:rsidRPr="00627DA0">
        <w:t xml:space="preserve"> </w:t>
      </w:r>
      <w:r w:rsidR="0083295C" w:rsidRPr="00627DA0">
        <w:t>and 10-</w:t>
      </w:r>
      <w:r w:rsidR="00962EF1" w:rsidRPr="00627DA0">
        <w:t>year potential</w:t>
      </w:r>
      <w:r w:rsidR="007665C3" w:rsidRPr="00627DA0">
        <w:t>,</w:t>
      </w:r>
      <w:r w:rsidR="00962EF1" w:rsidRPr="00627DA0">
        <w:t xml:space="preserve"> </w:t>
      </w:r>
      <w:r w:rsidR="0083295C" w:rsidRPr="00627DA0">
        <w:t>which are</w:t>
      </w:r>
      <w:r w:rsidR="00962EF1" w:rsidRPr="00627DA0">
        <w:t xml:space="preserve"> </w:t>
      </w:r>
      <w:r w:rsidR="00D370B1" w:rsidRPr="00627DA0">
        <w:t>2,741</w:t>
      </w:r>
      <w:r w:rsidR="00C915A0" w:rsidRPr="00627DA0">
        <w:t xml:space="preserve"> </w:t>
      </w:r>
      <w:r w:rsidR="00962EF1" w:rsidRPr="00627DA0">
        <w:t>MW</w:t>
      </w:r>
      <w:r w:rsidR="00C915A0" w:rsidRPr="00627DA0">
        <w:t>h</w:t>
      </w:r>
      <w:r w:rsidR="00962EF1" w:rsidRPr="00627DA0">
        <w:t xml:space="preserve"> and </w:t>
      </w:r>
      <w:r w:rsidR="00D370B1" w:rsidRPr="00627DA0">
        <w:t xml:space="preserve">59,313 </w:t>
      </w:r>
      <w:r w:rsidR="001B4910" w:rsidRPr="00627DA0">
        <w:t>M</w:t>
      </w:r>
      <w:r w:rsidR="009500D6" w:rsidRPr="00627DA0">
        <w:t>W</w:t>
      </w:r>
      <w:r w:rsidR="00536537" w:rsidRPr="00627DA0">
        <w:t>h</w:t>
      </w:r>
      <w:r w:rsidR="007A4AA0" w:rsidRPr="00627DA0">
        <w:t>, respectively</w:t>
      </w:r>
      <w:r w:rsidR="009500D6" w:rsidRPr="00627DA0">
        <w:t>.</w:t>
      </w:r>
      <w:bookmarkStart w:id="13" w:name="_Ref48647728"/>
      <w:r w:rsidR="008A16B1" w:rsidRPr="00627DA0">
        <w:t xml:space="preserve"> In the 4-year period covered by </w:t>
      </w:r>
      <w:r w:rsidR="0032364D" w:rsidRPr="00627DA0">
        <w:t>Inland Power</w:t>
      </w:r>
      <w:r w:rsidR="008A16B1" w:rsidRPr="00627DA0">
        <w:t>’s 2025 C</w:t>
      </w:r>
      <w:r w:rsidR="003F1FF7" w:rsidRPr="00627DA0">
        <w:t xml:space="preserve">lean </w:t>
      </w:r>
      <w:r w:rsidR="008A16B1" w:rsidRPr="00627DA0">
        <w:t>E</w:t>
      </w:r>
      <w:r w:rsidR="003F1FF7" w:rsidRPr="00627DA0">
        <w:t xml:space="preserve">nergy </w:t>
      </w:r>
      <w:r w:rsidR="008A16B1" w:rsidRPr="00627DA0">
        <w:t>I</w:t>
      </w:r>
      <w:r w:rsidR="003F1FF7" w:rsidRPr="00627DA0">
        <w:t xml:space="preserve">mplementation </w:t>
      </w:r>
      <w:r w:rsidR="008A16B1" w:rsidRPr="00627DA0">
        <w:t>P</w:t>
      </w:r>
      <w:r w:rsidR="003F1FF7" w:rsidRPr="00627DA0">
        <w:t>lan (CEIP)</w:t>
      </w:r>
      <w:r w:rsidR="008A16B1" w:rsidRPr="00627DA0">
        <w:t>, there are</w:t>
      </w:r>
      <w:r w:rsidR="00536537" w:rsidRPr="00627DA0">
        <w:t xml:space="preserve"> </w:t>
      </w:r>
      <w:r w:rsidR="00D370B1" w:rsidRPr="00627DA0">
        <w:t>8,799</w:t>
      </w:r>
      <w:r w:rsidR="008A16B1" w:rsidRPr="00627DA0">
        <w:t xml:space="preserve"> MW</w:t>
      </w:r>
      <w:r w:rsidR="00536537" w:rsidRPr="00627DA0">
        <w:t>h</w:t>
      </w:r>
      <w:r w:rsidR="008A16B1" w:rsidRPr="00627DA0">
        <w:t xml:space="preserve"> of </w:t>
      </w:r>
      <w:r w:rsidR="009D3412" w:rsidRPr="00627DA0">
        <w:t>cost-effective</w:t>
      </w:r>
      <w:r w:rsidR="008A16B1" w:rsidRPr="00627DA0">
        <w:t xml:space="preserve"> conservation potential available.</w:t>
      </w:r>
    </w:p>
    <w:p w14:paraId="48075B61" w14:textId="6DACC0F6" w:rsidR="006B0DC3" w:rsidRPr="00627DA0" w:rsidRDefault="00AB3471" w:rsidP="006E64F8">
      <w:pPr>
        <w:pStyle w:val="Caption"/>
        <w:spacing w:before="240"/>
      </w:pPr>
      <w:bookmarkStart w:id="14" w:name="_Ref61018804"/>
      <w:bookmarkStart w:id="15" w:name="_Toc207870701"/>
      <w:r w:rsidRPr="00627DA0">
        <w:lastRenderedPageBreak/>
        <w:t xml:space="preserve">Figure </w:t>
      </w:r>
      <w:fldSimple w:instr=" SEQ Figure \* ARABIC ">
        <w:r w:rsidR="00431297" w:rsidRPr="00627DA0">
          <w:t>2</w:t>
        </w:r>
      </w:fldSimple>
      <w:bookmarkEnd w:id="13"/>
      <w:bookmarkEnd w:id="14"/>
      <w:r w:rsidRPr="00627DA0">
        <w:t xml:space="preserve">: </w:t>
      </w:r>
      <w:r w:rsidR="009D3412" w:rsidRPr="00627DA0">
        <w:t>Cost-Effective</w:t>
      </w:r>
      <w:r w:rsidR="002009AB" w:rsidRPr="00627DA0">
        <w:t xml:space="preserve"> </w:t>
      </w:r>
      <w:r w:rsidRPr="00627DA0">
        <w:t>Potential by Sector</w:t>
      </w:r>
      <w:r w:rsidR="00925D23" w:rsidRPr="00627DA0">
        <w:t xml:space="preserve"> (</w:t>
      </w:r>
      <w:r w:rsidR="003D2181" w:rsidRPr="00627DA0">
        <w:t>MW</w:t>
      </w:r>
      <w:r w:rsidR="006B0DC3" w:rsidRPr="00627DA0">
        <w:t>h)</w:t>
      </w:r>
      <w:bookmarkEnd w:id="15"/>
    </w:p>
    <w:p w14:paraId="0DB486B6" w14:textId="0565E738" w:rsidR="00AB3471" w:rsidRPr="00627DA0" w:rsidRDefault="00A14166" w:rsidP="0038536A">
      <w:pPr>
        <w:pStyle w:val="Caption"/>
        <w:spacing w:before="240"/>
      </w:pPr>
      <w:r w:rsidRPr="00627DA0">
        <w:drawing>
          <wp:inline distT="0" distB="0" distL="0" distR="0" wp14:anchorId="4860A2C0" wp14:editId="3190C77A">
            <wp:extent cx="5948045" cy="2287710"/>
            <wp:effectExtent l="0" t="0" r="0" b="0"/>
            <wp:docPr id="1070083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83142"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8045" cy="2287710"/>
                    </a:xfrm>
                    <a:prstGeom prst="rect">
                      <a:avLst/>
                    </a:prstGeom>
                    <a:noFill/>
                    <a:ln>
                      <a:noFill/>
                    </a:ln>
                  </pic:spPr>
                </pic:pic>
              </a:graphicData>
            </a:graphic>
          </wp:inline>
        </w:drawing>
      </w:r>
    </w:p>
    <w:p w14:paraId="6758C3BE" w14:textId="2641F0AD" w:rsidR="0073433A" w:rsidRPr="00627DA0" w:rsidRDefault="0073433A" w:rsidP="0073433A">
      <w:pPr>
        <w:pStyle w:val="Caption"/>
        <w:spacing w:before="240"/>
      </w:pPr>
      <w:bookmarkStart w:id="16" w:name="_Ref61018838"/>
      <w:bookmarkStart w:id="17" w:name="_Toc207870730"/>
      <w:r w:rsidRPr="00627DA0">
        <w:t xml:space="preserve">Table </w:t>
      </w:r>
      <w:fldSimple w:instr=" SEQ Table \* ARABIC ">
        <w:r w:rsidR="00431297" w:rsidRPr="00627DA0">
          <w:t>1</w:t>
        </w:r>
      </w:fldSimple>
      <w:bookmarkEnd w:id="16"/>
      <w:r w:rsidRPr="00627DA0">
        <w:t xml:space="preserve">: </w:t>
      </w:r>
      <w:r w:rsidR="00D02D63" w:rsidRPr="00627DA0">
        <w:t>Cost-Effective</w:t>
      </w:r>
      <w:r w:rsidR="00126629" w:rsidRPr="00627DA0">
        <w:t xml:space="preserve"> </w:t>
      </w:r>
      <w:r w:rsidRPr="00627DA0">
        <w:t>Potential by Sector (</w:t>
      </w:r>
      <w:r w:rsidR="00BF7071" w:rsidRPr="00627DA0">
        <w:t>MW</w:t>
      </w:r>
      <w:r w:rsidR="002D77AF" w:rsidRPr="00627DA0">
        <w:t>h</w:t>
      </w:r>
      <w:r w:rsidRPr="00627DA0">
        <w:t>)</w:t>
      </w:r>
      <w:bookmarkEnd w:id="17"/>
    </w:p>
    <w:tbl>
      <w:tblPr>
        <w:tblW w:w="8760" w:type="dxa"/>
        <w:jc w:val="center"/>
        <w:tblLook w:val="04A0" w:firstRow="1" w:lastRow="0" w:firstColumn="1" w:lastColumn="0" w:noHBand="0" w:noVBand="1"/>
      </w:tblPr>
      <w:tblGrid>
        <w:gridCol w:w="3520"/>
        <w:gridCol w:w="1300"/>
        <w:gridCol w:w="1300"/>
        <w:gridCol w:w="1280"/>
        <w:gridCol w:w="1360"/>
      </w:tblGrid>
      <w:tr w:rsidR="00ED4179" w:rsidRPr="00627DA0" w14:paraId="4013EA65" w14:textId="77777777" w:rsidTr="00ED4179">
        <w:trPr>
          <w:trHeight w:val="330"/>
          <w:jc w:val="center"/>
        </w:trPr>
        <w:tc>
          <w:tcPr>
            <w:tcW w:w="3520" w:type="dxa"/>
            <w:tcBorders>
              <w:top w:val="single" w:sz="12" w:space="0" w:color="auto"/>
              <w:left w:val="nil"/>
              <w:bottom w:val="single" w:sz="12" w:space="0" w:color="auto"/>
              <w:right w:val="nil"/>
            </w:tcBorders>
            <w:shd w:val="clear" w:color="000000" w:fill="002C7C"/>
            <w:noWrap/>
            <w:vAlign w:val="center"/>
            <w:hideMark/>
          </w:tcPr>
          <w:p w14:paraId="5702BEC4" w14:textId="77777777" w:rsidR="00ED4179" w:rsidRPr="00627DA0" w:rsidRDefault="00ED4179" w:rsidP="00ED4179">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Sector</w:t>
            </w:r>
          </w:p>
        </w:tc>
        <w:tc>
          <w:tcPr>
            <w:tcW w:w="1300" w:type="dxa"/>
            <w:tcBorders>
              <w:top w:val="single" w:sz="12" w:space="0" w:color="auto"/>
              <w:left w:val="nil"/>
              <w:bottom w:val="single" w:sz="12" w:space="0" w:color="auto"/>
              <w:right w:val="nil"/>
            </w:tcBorders>
            <w:shd w:val="clear" w:color="000000" w:fill="002C7C"/>
            <w:noWrap/>
            <w:vAlign w:val="center"/>
            <w:hideMark/>
          </w:tcPr>
          <w:p w14:paraId="1F5D3C59" w14:textId="77777777" w:rsidR="00ED4179" w:rsidRPr="00627DA0" w:rsidRDefault="00ED4179" w:rsidP="00ED4179">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2-Year</w:t>
            </w:r>
          </w:p>
        </w:tc>
        <w:tc>
          <w:tcPr>
            <w:tcW w:w="1300" w:type="dxa"/>
            <w:tcBorders>
              <w:top w:val="single" w:sz="12" w:space="0" w:color="auto"/>
              <w:left w:val="nil"/>
              <w:bottom w:val="single" w:sz="12" w:space="0" w:color="auto"/>
              <w:right w:val="nil"/>
            </w:tcBorders>
            <w:shd w:val="clear" w:color="000000" w:fill="002C7C"/>
            <w:noWrap/>
            <w:vAlign w:val="center"/>
            <w:hideMark/>
          </w:tcPr>
          <w:p w14:paraId="56E0DF53" w14:textId="77777777" w:rsidR="00ED4179" w:rsidRPr="00627DA0" w:rsidRDefault="00ED4179" w:rsidP="00ED4179">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4-Year</w:t>
            </w:r>
          </w:p>
        </w:tc>
        <w:tc>
          <w:tcPr>
            <w:tcW w:w="1280" w:type="dxa"/>
            <w:tcBorders>
              <w:top w:val="single" w:sz="12" w:space="0" w:color="auto"/>
              <w:left w:val="nil"/>
              <w:bottom w:val="single" w:sz="12" w:space="0" w:color="auto"/>
              <w:right w:val="nil"/>
            </w:tcBorders>
            <w:shd w:val="clear" w:color="000000" w:fill="002C7C"/>
            <w:noWrap/>
            <w:vAlign w:val="center"/>
            <w:hideMark/>
          </w:tcPr>
          <w:p w14:paraId="0BE44773" w14:textId="77777777" w:rsidR="00ED4179" w:rsidRPr="00627DA0" w:rsidRDefault="00ED4179" w:rsidP="00ED4179">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10-Year</w:t>
            </w:r>
          </w:p>
        </w:tc>
        <w:tc>
          <w:tcPr>
            <w:tcW w:w="1360" w:type="dxa"/>
            <w:tcBorders>
              <w:top w:val="single" w:sz="12" w:space="0" w:color="auto"/>
              <w:left w:val="nil"/>
              <w:bottom w:val="single" w:sz="12" w:space="0" w:color="auto"/>
              <w:right w:val="nil"/>
            </w:tcBorders>
            <w:shd w:val="clear" w:color="000000" w:fill="002C7C"/>
            <w:noWrap/>
            <w:vAlign w:val="center"/>
            <w:hideMark/>
          </w:tcPr>
          <w:p w14:paraId="4F95C784" w14:textId="77777777" w:rsidR="00ED4179" w:rsidRPr="00627DA0" w:rsidRDefault="00ED4179" w:rsidP="00ED4179">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20-Year</w:t>
            </w:r>
          </w:p>
        </w:tc>
      </w:tr>
      <w:tr w:rsidR="00351CAB" w:rsidRPr="00627DA0" w14:paraId="050BF300" w14:textId="77777777" w:rsidTr="00351CAB">
        <w:trPr>
          <w:trHeight w:val="315"/>
          <w:jc w:val="center"/>
        </w:trPr>
        <w:tc>
          <w:tcPr>
            <w:tcW w:w="3520" w:type="dxa"/>
            <w:tcBorders>
              <w:top w:val="nil"/>
              <w:left w:val="nil"/>
              <w:bottom w:val="nil"/>
              <w:right w:val="nil"/>
            </w:tcBorders>
            <w:shd w:val="clear" w:color="000000" w:fill="FFFFFF"/>
            <w:noWrap/>
            <w:vAlign w:val="center"/>
            <w:hideMark/>
          </w:tcPr>
          <w:p w14:paraId="5713FD8E" w14:textId="77777777" w:rsidR="00351CAB" w:rsidRPr="00627DA0" w:rsidRDefault="00351CAB" w:rsidP="00351CAB">
            <w:pPr>
              <w:spacing w:after="0" w:line="240" w:lineRule="auto"/>
              <w:jc w:val="left"/>
              <w:rPr>
                <w:rFonts w:eastAsia="Times New Roman" w:cs="Calibri"/>
                <w:color w:val="000000"/>
                <w:sz w:val="20"/>
                <w:szCs w:val="20"/>
              </w:rPr>
            </w:pPr>
            <w:r w:rsidRPr="00627DA0">
              <w:rPr>
                <w:rFonts w:eastAsia="Times New Roman" w:cs="Calibri"/>
                <w:color w:val="000000"/>
                <w:sz w:val="20"/>
                <w:szCs w:val="20"/>
              </w:rPr>
              <w:t>Residential</w:t>
            </w:r>
          </w:p>
        </w:tc>
        <w:tc>
          <w:tcPr>
            <w:tcW w:w="1300" w:type="dxa"/>
            <w:tcBorders>
              <w:top w:val="nil"/>
              <w:left w:val="nil"/>
              <w:bottom w:val="nil"/>
              <w:right w:val="nil"/>
            </w:tcBorders>
            <w:noWrap/>
            <w:vAlign w:val="center"/>
            <w:hideMark/>
          </w:tcPr>
          <w:p w14:paraId="34F31AC3" w14:textId="7908B997"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1,779</w:t>
            </w:r>
          </w:p>
        </w:tc>
        <w:tc>
          <w:tcPr>
            <w:tcW w:w="1300" w:type="dxa"/>
            <w:tcBorders>
              <w:top w:val="nil"/>
              <w:left w:val="nil"/>
              <w:bottom w:val="nil"/>
              <w:right w:val="nil"/>
            </w:tcBorders>
            <w:noWrap/>
            <w:vAlign w:val="center"/>
            <w:hideMark/>
          </w:tcPr>
          <w:p w14:paraId="6D566D13" w14:textId="3DD0EC2A"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5,584</w:t>
            </w:r>
          </w:p>
        </w:tc>
        <w:tc>
          <w:tcPr>
            <w:tcW w:w="1280" w:type="dxa"/>
            <w:tcBorders>
              <w:top w:val="nil"/>
              <w:left w:val="nil"/>
              <w:bottom w:val="nil"/>
              <w:right w:val="nil"/>
            </w:tcBorders>
            <w:noWrap/>
            <w:vAlign w:val="center"/>
            <w:hideMark/>
          </w:tcPr>
          <w:p w14:paraId="27A3619F" w14:textId="251E5E5E"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34,462</w:t>
            </w:r>
          </w:p>
        </w:tc>
        <w:tc>
          <w:tcPr>
            <w:tcW w:w="1360" w:type="dxa"/>
            <w:tcBorders>
              <w:top w:val="nil"/>
              <w:left w:val="nil"/>
              <w:bottom w:val="nil"/>
              <w:right w:val="nil"/>
            </w:tcBorders>
            <w:noWrap/>
            <w:vAlign w:val="center"/>
            <w:hideMark/>
          </w:tcPr>
          <w:p w14:paraId="41E4E402" w14:textId="21217138"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109,057</w:t>
            </w:r>
          </w:p>
        </w:tc>
      </w:tr>
      <w:tr w:rsidR="00351CAB" w:rsidRPr="00627DA0" w14:paraId="0FB980CF" w14:textId="77777777" w:rsidTr="00351CAB">
        <w:trPr>
          <w:trHeight w:val="300"/>
          <w:jc w:val="center"/>
        </w:trPr>
        <w:tc>
          <w:tcPr>
            <w:tcW w:w="3520" w:type="dxa"/>
            <w:tcBorders>
              <w:top w:val="nil"/>
              <w:left w:val="nil"/>
              <w:bottom w:val="nil"/>
              <w:right w:val="nil"/>
            </w:tcBorders>
            <w:shd w:val="clear" w:color="000000" w:fill="E7E6E6"/>
            <w:noWrap/>
            <w:vAlign w:val="center"/>
            <w:hideMark/>
          </w:tcPr>
          <w:p w14:paraId="36760B69" w14:textId="77777777" w:rsidR="00351CAB" w:rsidRPr="00627DA0" w:rsidRDefault="00351CAB" w:rsidP="00351CAB">
            <w:pPr>
              <w:spacing w:after="0" w:line="240" w:lineRule="auto"/>
              <w:jc w:val="left"/>
              <w:rPr>
                <w:rFonts w:eastAsia="Times New Roman" w:cs="Calibri"/>
                <w:color w:val="000000"/>
                <w:sz w:val="20"/>
                <w:szCs w:val="20"/>
              </w:rPr>
            </w:pPr>
            <w:r w:rsidRPr="00627DA0">
              <w:rPr>
                <w:rFonts w:eastAsia="Times New Roman" w:cs="Calibri"/>
                <w:color w:val="000000"/>
                <w:sz w:val="20"/>
                <w:szCs w:val="20"/>
              </w:rPr>
              <w:t>Commercial</w:t>
            </w:r>
          </w:p>
        </w:tc>
        <w:tc>
          <w:tcPr>
            <w:tcW w:w="1300" w:type="dxa"/>
            <w:tcBorders>
              <w:top w:val="nil"/>
              <w:left w:val="nil"/>
              <w:bottom w:val="nil"/>
              <w:right w:val="nil"/>
            </w:tcBorders>
            <w:shd w:val="clear" w:color="000000" w:fill="E7E6E6"/>
            <w:noWrap/>
            <w:vAlign w:val="center"/>
            <w:hideMark/>
          </w:tcPr>
          <w:p w14:paraId="69A08EC3" w14:textId="1A01CF05"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719</w:t>
            </w:r>
          </w:p>
        </w:tc>
        <w:tc>
          <w:tcPr>
            <w:tcW w:w="1300" w:type="dxa"/>
            <w:tcBorders>
              <w:top w:val="nil"/>
              <w:left w:val="nil"/>
              <w:bottom w:val="nil"/>
              <w:right w:val="nil"/>
            </w:tcBorders>
            <w:shd w:val="clear" w:color="000000" w:fill="E7E6E6"/>
            <w:noWrap/>
            <w:vAlign w:val="center"/>
            <w:hideMark/>
          </w:tcPr>
          <w:p w14:paraId="4F91C3F4" w14:textId="2042BD4F"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2,285</w:t>
            </w:r>
          </w:p>
        </w:tc>
        <w:tc>
          <w:tcPr>
            <w:tcW w:w="1280" w:type="dxa"/>
            <w:tcBorders>
              <w:top w:val="nil"/>
              <w:left w:val="nil"/>
              <w:bottom w:val="nil"/>
              <w:right w:val="nil"/>
            </w:tcBorders>
            <w:shd w:val="clear" w:color="000000" w:fill="E7E6E6"/>
            <w:noWrap/>
            <w:vAlign w:val="center"/>
            <w:hideMark/>
          </w:tcPr>
          <w:p w14:paraId="26173DCF" w14:textId="36322275"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15,667</w:t>
            </w:r>
          </w:p>
        </w:tc>
        <w:tc>
          <w:tcPr>
            <w:tcW w:w="1360" w:type="dxa"/>
            <w:tcBorders>
              <w:top w:val="nil"/>
              <w:left w:val="nil"/>
              <w:bottom w:val="nil"/>
              <w:right w:val="nil"/>
            </w:tcBorders>
            <w:shd w:val="clear" w:color="000000" w:fill="E7E6E6"/>
            <w:noWrap/>
            <w:vAlign w:val="center"/>
            <w:hideMark/>
          </w:tcPr>
          <w:p w14:paraId="64AB03B1" w14:textId="659F33B8"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52,961</w:t>
            </w:r>
          </w:p>
        </w:tc>
      </w:tr>
      <w:tr w:rsidR="00351CAB" w:rsidRPr="00627DA0" w14:paraId="00E5BEB1" w14:textId="77777777" w:rsidTr="00351CAB">
        <w:trPr>
          <w:trHeight w:val="300"/>
          <w:jc w:val="center"/>
        </w:trPr>
        <w:tc>
          <w:tcPr>
            <w:tcW w:w="3520" w:type="dxa"/>
            <w:tcBorders>
              <w:top w:val="nil"/>
              <w:left w:val="nil"/>
              <w:bottom w:val="nil"/>
              <w:right w:val="nil"/>
            </w:tcBorders>
            <w:shd w:val="clear" w:color="000000" w:fill="FFFFFF"/>
            <w:noWrap/>
            <w:vAlign w:val="center"/>
            <w:hideMark/>
          </w:tcPr>
          <w:p w14:paraId="5A8F4111" w14:textId="77777777" w:rsidR="00351CAB" w:rsidRPr="00627DA0" w:rsidRDefault="00351CAB" w:rsidP="00351CAB">
            <w:pPr>
              <w:spacing w:after="0" w:line="240" w:lineRule="auto"/>
              <w:jc w:val="left"/>
              <w:rPr>
                <w:rFonts w:eastAsia="Times New Roman" w:cs="Calibri"/>
                <w:color w:val="000000"/>
                <w:sz w:val="20"/>
                <w:szCs w:val="20"/>
              </w:rPr>
            </w:pPr>
            <w:r w:rsidRPr="00627DA0">
              <w:rPr>
                <w:rFonts w:eastAsia="Times New Roman" w:cs="Calibri"/>
                <w:color w:val="000000"/>
                <w:sz w:val="20"/>
                <w:szCs w:val="20"/>
              </w:rPr>
              <w:t>Industrial</w:t>
            </w:r>
          </w:p>
        </w:tc>
        <w:tc>
          <w:tcPr>
            <w:tcW w:w="1300" w:type="dxa"/>
            <w:tcBorders>
              <w:top w:val="nil"/>
              <w:left w:val="nil"/>
              <w:bottom w:val="nil"/>
              <w:right w:val="nil"/>
            </w:tcBorders>
            <w:noWrap/>
            <w:vAlign w:val="center"/>
            <w:hideMark/>
          </w:tcPr>
          <w:p w14:paraId="44C00809" w14:textId="58BAEFCA"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64</w:t>
            </w:r>
          </w:p>
        </w:tc>
        <w:tc>
          <w:tcPr>
            <w:tcW w:w="1300" w:type="dxa"/>
            <w:tcBorders>
              <w:top w:val="nil"/>
              <w:left w:val="nil"/>
              <w:bottom w:val="nil"/>
              <w:right w:val="nil"/>
            </w:tcBorders>
            <w:noWrap/>
            <w:vAlign w:val="center"/>
            <w:hideMark/>
          </w:tcPr>
          <w:p w14:paraId="16011977" w14:textId="5E44A9DF"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250</w:t>
            </w:r>
          </w:p>
        </w:tc>
        <w:tc>
          <w:tcPr>
            <w:tcW w:w="1280" w:type="dxa"/>
            <w:tcBorders>
              <w:top w:val="nil"/>
              <w:left w:val="nil"/>
              <w:bottom w:val="nil"/>
              <w:right w:val="nil"/>
            </w:tcBorders>
            <w:noWrap/>
            <w:vAlign w:val="center"/>
            <w:hideMark/>
          </w:tcPr>
          <w:p w14:paraId="433A95B0" w14:textId="241E093E"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2,763</w:t>
            </w:r>
          </w:p>
        </w:tc>
        <w:tc>
          <w:tcPr>
            <w:tcW w:w="1360" w:type="dxa"/>
            <w:tcBorders>
              <w:top w:val="nil"/>
              <w:left w:val="nil"/>
              <w:bottom w:val="nil"/>
              <w:right w:val="nil"/>
            </w:tcBorders>
            <w:noWrap/>
            <w:vAlign w:val="center"/>
            <w:hideMark/>
          </w:tcPr>
          <w:p w14:paraId="398D6844" w14:textId="759C014C"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10,258</w:t>
            </w:r>
          </w:p>
        </w:tc>
      </w:tr>
      <w:tr w:rsidR="00351CAB" w:rsidRPr="00627DA0" w14:paraId="2C76EAF6" w14:textId="77777777" w:rsidTr="00351CAB">
        <w:trPr>
          <w:trHeight w:val="300"/>
          <w:jc w:val="center"/>
        </w:trPr>
        <w:tc>
          <w:tcPr>
            <w:tcW w:w="3520" w:type="dxa"/>
            <w:tcBorders>
              <w:top w:val="nil"/>
              <w:left w:val="nil"/>
              <w:bottom w:val="nil"/>
              <w:right w:val="nil"/>
            </w:tcBorders>
            <w:shd w:val="clear" w:color="000000" w:fill="E7E6E6"/>
            <w:noWrap/>
            <w:vAlign w:val="center"/>
            <w:hideMark/>
          </w:tcPr>
          <w:p w14:paraId="08D13271" w14:textId="77777777" w:rsidR="00351CAB" w:rsidRPr="00627DA0" w:rsidRDefault="00351CAB" w:rsidP="00351CAB">
            <w:pPr>
              <w:spacing w:after="0" w:line="240" w:lineRule="auto"/>
              <w:jc w:val="left"/>
              <w:rPr>
                <w:rFonts w:eastAsia="Times New Roman" w:cs="Calibri"/>
                <w:color w:val="000000"/>
                <w:sz w:val="20"/>
                <w:szCs w:val="20"/>
              </w:rPr>
            </w:pPr>
            <w:r w:rsidRPr="00627DA0">
              <w:rPr>
                <w:rFonts w:eastAsia="Times New Roman" w:cs="Calibri"/>
                <w:color w:val="000000"/>
                <w:sz w:val="20"/>
                <w:szCs w:val="20"/>
              </w:rPr>
              <w:t>Utility</w:t>
            </w:r>
          </w:p>
        </w:tc>
        <w:tc>
          <w:tcPr>
            <w:tcW w:w="1300" w:type="dxa"/>
            <w:tcBorders>
              <w:top w:val="nil"/>
              <w:left w:val="nil"/>
              <w:bottom w:val="nil"/>
              <w:right w:val="nil"/>
            </w:tcBorders>
            <w:shd w:val="clear" w:color="000000" w:fill="E7E6E6"/>
            <w:noWrap/>
            <w:vAlign w:val="center"/>
            <w:hideMark/>
          </w:tcPr>
          <w:p w14:paraId="5C88DDFC" w14:textId="542D664F"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115</w:t>
            </w:r>
          </w:p>
        </w:tc>
        <w:tc>
          <w:tcPr>
            <w:tcW w:w="1300" w:type="dxa"/>
            <w:tcBorders>
              <w:top w:val="nil"/>
              <w:left w:val="nil"/>
              <w:bottom w:val="nil"/>
              <w:right w:val="nil"/>
            </w:tcBorders>
            <w:shd w:val="clear" w:color="000000" w:fill="E7E6E6"/>
            <w:noWrap/>
            <w:vAlign w:val="center"/>
            <w:hideMark/>
          </w:tcPr>
          <w:p w14:paraId="09B8F616" w14:textId="51D39553"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471</w:t>
            </w:r>
          </w:p>
        </w:tc>
        <w:tc>
          <w:tcPr>
            <w:tcW w:w="1280" w:type="dxa"/>
            <w:tcBorders>
              <w:top w:val="nil"/>
              <w:left w:val="nil"/>
              <w:bottom w:val="nil"/>
              <w:right w:val="nil"/>
            </w:tcBorders>
            <w:shd w:val="clear" w:color="000000" w:fill="E7E6E6"/>
            <w:noWrap/>
            <w:vAlign w:val="center"/>
            <w:hideMark/>
          </w:tcPr>
          <w:p w14:paraId="17C56A95" w14:textId="52ACEBB4"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5,063</w:t>
            </w:r>
          </w:p>
        </w:tc>
        <w:tc>
          <w:tcPr>
            <w:tcW w:w="1360" w:type="dxa"/>
            <w:tcBorders>
              <w:top w:val="nil"/>
              <w:left w:val="nil"/>
              <w:bottom w:val="nil"/>
              <w:right w:val="nil"/>
            </w:tcBorders>
            <w:shd w:val="clear" w:color="000000" w:fill="E7E6E6"/>
            <w:noWrap/>
            <w:vAlign w:val="center"/>
            <w:hideMark/>
          </w:tcPr>
          <w:p w14:paraId="0B969FA3" w14:textId="4CA0F665"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14,907</w:t>
            </w:r>
          </w:p>
        </w:tc>
      </w:tr>
      <w:tr w:rsidR="00351CAB" w:rsidRPr="00627DA0" w14:paraId="1640E384" w14:textId="77777777" w:rsidTr="00351CAB">
        <w:trPr>
          <w:trHeight w:val="315"/>
          <w:jc w:val="center"/>
        </w:trPr>
        <w:tc>
          <w:tcPr>
            <w:tcW w:w="3520" w:type="dxa"/>
            <w:tcBorders>
              <w:top w:val="nil"/>
              <w:left w:val="nil"/>
              <w:bottom w:val="single" w:sz="8" w:space="0" w:color="002C7C"/>
              <w:right w:val="nil"/>
            </w:tcBorders>
            <w:shd w:val="clear" w:color="000000" w:fill="FFFFFF"/>
            <w:noWrap/>
            <w:vAlign w:val="center"/>
            <w:hideMark/>
          </w:tcPr>
          <w:p w14:paraId="6920A26D" w14:textId="77777777" w:rsidR="00351CAB" w:rsidRPr="00627DA0" w:rsidRDefault="00351CAB" w:rsidP="00351CAB">
            <w:pPr>
              <w:spacing w:after="0" w:line="240" w:lineRule="auto"/>
              <w:jc w:val="left"/>
              <w:rPr>
                <w:rFonts w:eastAsia="Times New Roman" w:cs="Calibri"/>
                <w:color w:val="000000"/>
                <w:sz w:val="20"/>
                <w:szCs w:val="20"/>
              </w:rPr>
            </w:pPr>
            <w:r w:rsidRPr="00627DA0">
              <w:rPr>
                <w:rFonts w:eastAsia="Times New Roman" w:cs="Calibri"/>
                <w:color w:val="000000"/>
                <w:sz w:val="20"/>
                <w:szCs w:val="20"/>
              </w:rPr>
              <w:t>Agricultural</w:t>
            </w:r>
          </w:p>
        </w:tc>
        <w:tc>
          <w:tcPr>
            <w:tcW w:w="1300" w:type="dxa"/>
            <w:tcBorders>
              <w:top w:val="nil"/>
              <w:left w:val="nil"/>
              <w:bottom w:val="nil"/>
              <w:right w:val="nil"/>
            </w:tcBorders>
            <w:noWrap/>
            <w:vAlign w:val="center"/>
            <w:hideMark/>
          </w:tcPr>
          <w:p w14:paraId="24041F3E" w14:textId="2681DBC5"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64</w:t>
            </w:r>
          </w:p>
        </w:tc>
        <w:tc>
          <w:tcPr>
            <w:tcW w:w="1300" w:type="dxa"/>
            <w:tcBorders>
              <w:top w:val="nil"/>
              <w:left w:val="nil"/>
              <w:bottom w:val="nil"/>
              <w:right w:val="nil"/>
            </w:tcBorders>
            <w:noWrap/>
            <w:vAlign w:val="center"/>
            <w:hideMark/>
          </w:tcPr>
          <w:p w14:paraId="4D2F59BA" w14:textId="3EF4CEDB"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209</w:t>
            </w:r>
          </w:p>
        </w:tc>
        <w:tc>
          <w:tcPr>
            <w:tcW w:w="1280" w:type="dxa"/>
            <w:tcBorders>
              <w:top w:val="nil"/>
              <w:left w:val="nil"/>
              <w:bottom w:val="nil"/>
              <w:right w:val="nil"/>
            </w:tcBorders>
            <w:noWrap/>
            <w:vAlign w:val="center"/>
            <w:hideMark/>
          </w:tcPr>
          <w:p w14:paraId="2C9203FF" w14:textId="1E83762D"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1,358</w:t>
            </w:r>
          </w:p>
        </w:tc>
        <w:tc>
          <w:tcPr>
            <w:tcW w:w="1360" w:type="dxa"/>
            <w:tcBorders>
              <w:top w:val="nil"/>
              <w:left w:val="nil"/>
              <w:bottom w:val="nil"/>
              <w:right w:val="nil"/>
            </w:tcBorders>
            <w:noWrap/>
            <w:vAlign w:val="center"/>
            <w:hideMark/>
          </w:tcPr>
          <w:p w14:paraId="78B015CA" w14:textId="655D3506" w:rsidR="00351CAB" w:rsidRPr="00627DA0" w:rsidRDefault="00351CAB" w:rsidP="00351CAB">
            <w:pPr>
              <w:spacing w:after="0" w:line="240" w:lineRule="auto"/>
              <w:jc w:val="right"/>
              <w:rPr>
                <w:rFonts w:eastAsia="Times New Roman" w:cs="Calibri"/>
                <w:color w:val="000000"/>
                <w:sz w:val="20"/>
                <w:szCs w:val="20"/>
              </w:rPr>
            </w:pPr>
            <w:r w:rsidRPr="00627DA0">
              <w:rPr>
                <w:rFonts w:cs="Calibri"/>
                <w:color w:val="000000"/>
                <w:sz w:val="20"/>
                <w:szCs w:val="20"/>
              </w:rPr>
              <w:t>2,778</w:t>
            </w:r>
          </w:p>
        </w:tc>
      </w:tr>
      <w:tr w:rsidR="00351CAB" w:rsidRPr="00627DA0" w14:paraId="41EB2C60" w14:textId="77777777" w:rsidTr="00351CAB">
        <w:trPr>
          <w:trHeight w:val="315"/>
          <w:jc w:val="center"/>
        </w:trPr>
        <w:tc>
          <w:tcPr>
            <w:tcW w:w="3520" w:type="dxa"/>
            <w:tcBorders>
              <w:top w:val="nil"/>
              <w:left w:val="nil"/>
              <w:bottom w:val="single" w:sz="8" w:space="0" w:color="002C7C"/>
              <w:right w:val="nil"/>
            </w:tcBorders>
            <w:shd w:val="clear" w:color="000000" w:fill="F2F2F2"/>
            <w:noWrap/>
            <w:vAlign w:val="center"/>
            <w:hideMark/>
          </w:tcPr>
          <w:p w14:paraId="5264FF9E" w14:textId="77777777" w:rsidR="00351CAB" w:rsidRPr="00627DA0" w:rsidRDefault="00351CAB" w:rsidP="00351CAB">
            <w:pPr>
              <w:spacing w:after="0" w:line="240" w:lineRule="auto"/>
              <w:jc w:val="left"/>
              <w:rPr>
                <w:rFonts w:eastAsia="Times New Roman" w:cs="Calibri"/>
                <w:b/>
                <w:bCs/>
                <w:color w:val="000000"/>
                <w:sz w:val="20"/>
                <w:szCs w:val="20"/>
              </w:rPr>
            </w:pPr>
            <w:r w:rsidRPr="00627DA0">
              <w:rPr>
                <w:rFonts w:eastAsia="Times New Roman" w:cs="Calibri"/>
                <w:b/>
                <w:bCs/>
                <w:color w:val="000000"/>
                <w:sz w:val="20"/>
                <w:szCs w:val="20"/>
              </w:rPr>
              <w:t>Total</w:t>
            </w:r>
          </w:p>
        </w:tc>
        <w:tc>
          <w:tcPr>
            <w:tcW w:w="1300" w:type="dxa"/>
            <w:tcBorders>
              <w:top w:val="single" w:sz="8" w:space="0" w:color="002C7C"/>
              <w:left w:val="nil"/>
              <w:bottom w:val="single" w:sz="8" w:space="0" w:color="002C7C"/>
              <w:right w:val="nil"/>
            </w:tcBorders>
            <w:shd w:val="clear" w:color="000000" w:fill="F2F2F2"/>
            <w:noWrap/>
            <w:vAlign w:val="center"/>
            <w:hideMark/>
          </w:tcPr>
          <w:p w14:paraId="07AF20E0" w14:textId="6DE9CB4F" w:rsidR="00351CAB" w:rsidRPr="00627DA0" w:rsidRDefault="00351CAB" w:rsidP="00351CAB">
            <w:pPr>
              <w:spacing w:after="0" w:line="240" w:lineRule="auto"/>
              <w:jc w:val="right"/>
              <w:rPr>
                <w:rFonts w:eastAsia="Times New Roman" w:cs="Calibri"/>
                <w:b/>
                <w:bCs/>
                <w:color w:val="000000"/>
                <w:sz w:val="20"/>
                <w:szCs w:val="20"/>
              </w:rPr>
            </w:pPr>
            <w:r w:rsidRPr="00627DA0">
              <w:rPr>
                <w:rFonts w:cs="Calibri"/>
                <w:b/>
                <w:bCs/>
                <w:color w:val="000000"/>
                <w:sz w:val="20"/>
                <w:szCs w:val="20"/>
              </w:rPr>
              <w:t>2,741</w:t>
            </w:r>
          </w:p>
        </w:tc>
        <w:tc>
          <w:tcPr>
            <w:tcW w:w="1300" w:type="dxa"/>
            <w:tcBorders>
              <w:top w:val="single" w:sz="8" w:space="0" w:color="002C7C"/>
              <w:left w:val="nil"/>
              <w:bottom w:val="single" w:sz="8" w:space="0" w:color="002C7C"/>
              <w:right w:val="nil"/>
            </w:tcBorders>
            <w:shd w:val="clear" w:color="000000" w:fill="F2F2F2"/>
            <w:noWrap/>
            <w:vAlign w:val="center"/>
            <w:hideMark/>
          </w:tcPr>
          <w:p w14:paraId="648CE7FF" w14:textId="7E155FEC" w:rsidR="00351CAB" w:rsidRPr="00627DA0" w:rsidRDefault="00351CAB" w:rsidP="00351CAB">
            <w:pPr>
              <w:spacing w:after="0" w:line="240" w:lineRule="auto"/>
              <w:jc w:val="right"/>
              <w:rPr>
                <w:rFonts w:eastAsia="Times New Roman" w:cs="Calibri"/>
                <w:b/>
                <w:bCs/>
                <w:color w:val="000000"/>
                <w:sz w:val="20"/>
                <w:szCs w:val="20"/>
              </w:rPr>
            </w:pPr>
            <w:r w:rsidRPr="00627DA0">
              <w:rPr>
                <w:rFonts w:cs="Calibri"/>
                <w:b/>
                <w:bCs/>
                <w:color w:val="000000"/>
                <w:sz w:val="20"/>
                <w:szCs w:val="20"/>
              </w:rPr>
              <w:t>8,799</w:t>
            </w:r>
          </w:p>
        </w:tc>
        <w:tc>
          <w:tcPr>
            <w:tcW w:w="1280" w:type="dxa"/>
            <w:tcBorders>
              <w:top w:val="single" w:sz="8" w:space="0" w:color="002C7C"/>
              <w:left w:val="nil"/>
              <w:bottom w:val="single" w:sz="8" w:space="0" w:color="002C7C"/>
              <w:right w:val="nil"/>
            </w:tcBorders>
            <w:shd w:val="clear" w:color="000000" w:fill="F2F2F2"/>
            <w:noWrap/>
            <w:vAlign w:val="center"/>
            <w:hideMark/>
          </w:tcPr>
          <w:p w14:paraId="0CAD0B70" w14:textId="4F981313" w:rsidR="00351CAB" w:rsidRPr="00627DA0" w:rsidRDefault="00351CAB" w:rsidP="00351CAB">
            <w:pPr>
              <w:spacing w:after="0" w:line="240" w:lineRule="auto"/>
              <w:jc w:val="right"/>
              <w:rPr>
                <w:rFonts w:eastAsia="Times New Roman" w:cs="Calibri"/>
                <w:b/>
                <w:bCs/>
                <w:color w:val="000000"/>
                <w:sz w:val="20"/>
                <w:szCs w:val="20"/>
              </w:rPr>
            </w:pPr>
            <w:r w:rsidRPr="00627DA0">
              <w:rPr>
                <w:rFonts w:cs="Calibri"/>
                <w:b/>
                <w:bCs/>
                <w:color w:val="000000"/>
                <w:sz w:val="20"/>
                <w:szCs w:val="20"/>
              </w:rPr>
              <w:t>59,313</w:t>
            </w:r>
          </w:p>
        </w:tc>
        <w:tc>
          <w:tcPr>
            <w:tcW w:w="1360" w:type="dxa"/>
            <w:tcBorders>
              <w:top w:val="single" w:sz="8" w:space="0" w:color="002C7C"/>
              <w:left w:val="nil"/>
              <w:bottom w:val="single" w:sz="8" w:space="0" w:color="002C7C"/>
              <w:right w:val="nil"/>
            </w:tcBorders>
            <w:shd w:val="clear" w:color="000000" w:fill="F2F2F2"/>
            <w:noWrap/>
            <w:vAlign w:val="center"/>
            <w:hideMark/>
          </w:tcPr>
          <w:p w14:paraId="659C8D72" w14:textId="38716045" w:rsidR="00351CAB" w:rsidRPr="00627DA0" w:rsidRDefault="00351CAB" w:rsidP="00351CAB">
            <w:pPr>
              <w:spacing w:after="0" w:line="240" w:lineRule="auto"/>
              <w:jc w:val="right"/>
              <w:rPr>
                <w:rFonts w:eastAsia="Times New Roman" w:cs="Calibri"/>
                <w:b/>
                <w:bCs/>
                <w:color w:val="000000"/>
                <w:sz w:val="20"/>
                <w:szCs w:val="20"/>
              </w:rPr>
            </w:pPr>
            <w:r w:rsidRPr="00627DA0">
              <w:rPr>
                <w:rFonts w:cs="Calibri"/>
                <w:b/>
                <w:bCs/>
                <w:color w:val="000000"/>
                <w:sz w:val="20"/>
                <w:szCs w:val="20"/>
              </w:rPr>
              <w:t>189,961</w:t>
            </w:r>
          </w:p>
        </w:tc>
      </w:tr>
    </w:tbl>
    <w:p w14:paraId="0F8D50DC" w14:textId="2C47F04A" w:rsidR="0073433A" w:rsidRPr="00627DA0" w:rsidRDefault="00603E12" w:rsidP="00E4166A">
      <w:pPr>
        <w:ind w:firstLine="720"/>
        <w:rPr>
          <w:i/>
          <w:iCs/>
          <w:sz w:val="18"/>
          <w:szCs w:val="18"/>
        </w:rPr>
      </w:pPr>
      <w:r w:rsidRPr="00627DA0">
        <w:rPr>
          <w:i/>
          <w:iCs/>
          <w:sz w:val="18"/>
          <w:szCs w:val="18"/>
        </w:rPr>
        <w:t xml:space="preserve">Note: In this and all subsequent tables, </w:t>
      </w:r>
      <w:r w:rsidR="00B2341E" w:rsidRPr="00627DA0">
        <w:rPr>
          <w:i/>
          <w:iCs/>
          <w:sz w:val="18"/>
          <w:szCs w:val="18"/>
        </w:rPr>
        <w:t>total</w:t>
      </w:r>
      <w:r w:rsidRPr="00627DA0">
        <w:rPr>
          <w:i/>
          <w:iCs/>
          <w:sz w:val="18"/>
          <w:szCs w:val="18"/>
        </w:rPr>
        <w:t>s may not</w:t>
      </w:r>
      <w:r w:rsidR="003437DF" w:rsidRPr="00627DA0">
        <w:rPr>
          <w:i/>
          <w:iCs/>
          <w:sz w:val="18"/>
          <w:szCs w:val="18"/>
        </w:rPr>
        <w:t xml:space="preserve"> </w:t>
      </w:r>
      <w:r w:rsidR="00B2341E" w:rsidRPr="00627DA0">
        <w:rPr>
          <w:i/>
          <w:iCs/>
          <w:sz w:val="18"/>
          <w:szCs w:val="18"/>
        </w:rPr>
        <w:t>match</w:t>
      </w:r>
      <w:r w:rsidR="003437DF" w:rsidRPr="00627DA0">
        <w:rPr>
          <w:i/>
          <w:iCs/>
          <w:sz w:val="18"/>
          <w:szCs w:val="18"/>
        </w:rPr>
        <w:t xml:space="preserve"> due to rounding.</w:t>
      </w:r>
    </w:p>
    <w:p w14:paraId="5E3A2054" w14:textId="773CFFDE" w:rsidR="009B46B4" w:rsidRPr="00627DA0" w:rsidRDefault="002623C5" w:rsidP="00EB128E">
      <w:pPr>
        <w:rPr>
          <w:szCs w:val="20"/>
        </w:rPr>
      </w:pPr>
      <w:r w:rsidRPr="00627DA0">
        <w:rPr>
          <w:szCs w:val="20"/>
        </w:rPr>
        <w:t xml:space="preserve">The distribution of cost-effective potential across sectors is </w:t>
      </w:r>
      <w:r w:rsidR="00F17E9C" w:rsidRPr="00627DA0">
        <w:rPr>
          <w:szCs w:val="20"/>
        </w:rPr>
        <w:t xml:space="preserve">consistent over the </w:t>
      </w:r>
      <w:r w:rsidR="00F13AB0" w:rsidRPr="00627DA0">
        <w:rPr>
          <w:szCs w:val="20"/>
        </w:rPr>
        <w:t>study</w:t>
      </w:r>
      <w:r w:rsidR="00F17E9C" w:rsidRPr="00627DA0">
        <w:rPr>
          <w:szCs w:val="20"/>
        </w:rPr>
        <w:t xml:space="preserve"> period with the residential sector</w:t>
      </w:r>
      <w:r w:rsidR="00565CF2" w:rsidRPr="00627DA0">
        <w:rPr>
          <w:szCs w:val="20"/>
        </w:rPr>
        <w:t xml:space="preserve"> offering the greatest proportion of potential. </w:t>
      </w:r>
      <w:r w:rsidR="009F6D7D" w:rsidRPr="00627DA0">
        <w:rPr>
          <w:szCs w:val="20"/>
        </w:rPr>
        <w:t>In the first two</w:t>
      </w:r>
      <w:r w:rsidR="00F13AB0" w:rsidRPr="00627DA0">
        <w:rPr>
          <w:szCs w:val="20"/>
        </w:rPr>
        <w:t xml:space="preserve"> years</w:t>
      </w:r>
      <w:r w:rsidR="009F6D7D" w:rsidRPr="00627DA0">
        <w:rPr>
          <w:szCs w:val="20"/>
        </w:rPr>
        <w:t xml:space="preserve">, the residential sector makes up 65% of the cost-effective </w:t>
      </w:r>
      <w:r w:rsidR="00D47087" w:rsidRPr="00627DA0">
        <w:rPr>
          <w:szCs w:val="20"/>
        </w:rPr>
        <w:t xml:space="preserve">potential, followed by the commercial sector (26%), utility (4%), industrial (2%) and agricultural (2%). </w:t>
      </w:r>
    </w:p>
    <w:p w14:paraId="6C08D8C3" w14:textId="670FDA7C" w:rsidR="00192993" w:rsidRPr="00627DA0" w:rsidRDefault="00773534" w:rsidP="00EB128E">
      <w:r w:rsidRPr="00627DA0">
        <w:t>This assessment does not specify how the energy efficiency potential will be achieved</w:t>
      </w:r>
      <w:r w:rsidR="00486A30" w:rsidRPr="00627DA0">
        <w:t xml:space="preserve">. </w:t>
      </w:r>
      <w:r w:rsidR="004365B3" w:rsidRPr="00627DA0">
        <w:t xml:space="preserve">Possible mechanisms include </w:t>
      </w:r>
      <w:r w:rsidR="0032364D" w:rsidRPr="00627DA0">
        <w:t>Inland Power</w:t>
      </w:r>
      <w:r w:rsidR="004365B3" w:rsidRPr="00627DA0">
        <w:t xml:space="preserve">’s own energy efficiency programs, market transformation driven by the </w:t>
      </w:r>
      <w:r w:rsidR="007563CB" w:rsidRPr="00627DA0">
        <w:t>NEEA,</w:t>
      </w:r>
      <w:r w:rsidR="00BD15A5" w:rsidRPr="00627DA0">
        <w:t xml:space="preserve"> state building codes, </w:t>
      </w:r>
      <w:r w:rsidR="007A605B" w:rsidRPr="00627DA0">
        <w:t>and</w:t>
      </w:r>
      <w:r w:rsidR="00BD15A5" w:rsidRPr="00627DA0">
        <w:t xml:space="preserve"> </w:t>
      </w:r>
      <w:r w:rsidR="00A963A6" w:rsidRPr="00627DA0">
        <w:t xml:space="preserve">state </w:t>
      </w:r>
      <w:r w:rsidR="007A605B" w:rsidRPr="00627DA0">
        <w:t>or</w:t>
      </w:r>
      <w:r w:rsidR="00A963A6" w:rsidRPr="00627DA0">
        <w:t xml:space="preserve"> federal product standards. </w:t>
      </w:r>
      <w:r w:rsidR="007A605B" w:rsidRPr="00627DA0">
        <w:t xml:space="preserve">Often, the </w:t>
      </w:r>
      <w:r w:rsidR="007A0F1D" w:rsidRPr="00627DA0">
        <w:t xml:space="preserve">savings associated with a measure will be </w:t>
      </w:r>
      <w:r w:rsidR="008F72BC" w:rsidRPr="00627DA0">
        <w:t>achiev</w:t>
      </w:r>
      <w:r w:rsidR="007A0F1D" w:rsidRPr="00627DA0">
        <w:t xml:space="preserve">ed </w:t>
      </w:r>
      <w:r w:rsidR="00771F90" w:rsidRPr="00627DA0">
        <w:t>through</w:t>
      </w:r>
      <w:r w:rsidR="007A0F1D" w:rsidRPr="00627DA0">
        <w:t xml:space="preserve"> several</w:t>
      </w:r>
      <w:r w:rsidR="000B083B" w:rsidRPr="00627DA0">
        <w:t xml:space="preserve"> of the</w:t>
      </w:r>
      <w:r w:rsidR="00771F90" w:rsidRPr="00627DA0">
        <w:t>se</w:t>
      </w:r>
      <w:r w:rsidR="000B083B" w:rsidRPr="00627DA0">
        <w:t xml:space="preserve"> </w:t>
      </w:r>
      <w:r w:rsidR="00E71067" w:rsidRPr="00627DA0">
        <w:t xml:space="preserve">mechanisms </w:t>
      </w:r>
      <w:r w:rsidR="000B083B" w:rsidRPr="00627DA0">
        <w:t xml:space="preserve">over the course of its technological maturity. For example, </w:t>
      </w:r>
      <w:r w:rsidR="00EF4A3A" w:rsidRPr="00627DA0">
        <w:t xml:space="preserve">heat pump water heaters started as </w:t>
      </w:r>
      <w:r w:rsidR="001F4444" w:rsidRPr="00627DA0">
        <w:t xml:space="preserve">one of NEEA’s market transformation initiatives. </w:t>
      </w:r>
      <w:r w:rsidR="00FE35C7" w:rsidRPr="00627DA0">
        <w:t>They</w:t>
      </w:r>
      <w:r w:rsidR="00B16B54" w:rsidRPr="00627DA0">
        <w:t xml:space="preserve"> </w:t>
      </w:r>
      <w:r w:rsidR="00DC6034" w:rsidRPr="00627DA0">
        <w:t xml:space="preserve">subsequently </w:t>
      </w:r>
      <w:r w:rsidR="00B16B54" w:rsidRPr="00627DA0">
        <w:t>became a regular offering</w:t>
      </w:r>
      <w:r w:rsidR="00A86400" w:rsidRPr="00627DA0">
        <w:t xml:space="preserve"> </w:t>
      </w:r>
      <w:r w:rsidR="00FE35C7" w:rsidRPr="00627DA0">
        <w:t xml:space="preserve">in utility programs </w:t>
      </w:r>
      <w:r w:rsidR="00A86400" w:rsidRPr="00627DA0">
        <w:t xml:space="preserve">across the </w:t>
      </w:r>
      <w:r w:rsidR="00EB128E" w:rsidRPr="00627DA0">
        <w:t>Northwest and</w:t>
      </w:r>
      <w:r w:rsidR="00A86400" w:rsidRPr="00627DA0">
        <w:t xml:space="preserve"> </w:t>
      </w:r>
      <w:r w:rsidR="00456AF6" w:rsidRPr="00627DA0">
        <w:t xml:space="preserve">have </w:t>
      </w:r>
      <w:r w:rsidR="00EB62C8" w:rsidRPr="00627DA0">
        <w:t>recently</w:t>
      </w:r>
      <w:r w:rsidR="00456AF6" w:rsidRPr="00627DA0">
        <w:t xml:space="preserve"> become subject </w:t>
      </w:r>
      <w:r w:rsidR="00AF0D09" w:rsidRPr="00627DA0">
        <w:t>to federal product standards</w:t>
      </w:r>
      <w:r w:rsidR="00456AF6" w:rsidRPr="00627DA0">
        <w:t xml:space="preserve"> taking effect in 2029</w:t>
      </w:r>
      <w:r w:rsidR="00AF0D09" w:rsidRPr="00627DA0">
        <w:t>.</w:t>
      </w:r>
    </w:p>
    <w:p w14:paraId="2F45E738" w14:textId="6527BCAE" w:rsidR="001D1419" w:rsidRPr="00627DA0" w:rsidRDefault="00A502B1" w:rsidP="00EB128E">
      <w:r w:rsidRPr="00627DA0">
        <w:t xml:space="preserve">Energy efficiency also contributes to reductions in peak </w:t>
      </w:r>
      <w:r w:rsidR="004F2395" w:rsidRPr="00627DA0">
        <w:t>demand. This assessment used hourly load</w:t>
      </w:r>
      <w:r w:rsidR="00D97620" w:rsidRPr="00627DA0">
        <w:t xml:space="preserve"> and savings</w:t>
      </w:r>
      <w:r w:rsidR="004F2395" w:rsidRPr="00627DA0">
        <w:t xml:space="preserve"> </w:t>
      </w:r>
      <w:r w:rsidR="00F36856" w:rsidRPr="00627DA0">
        <w:t xml:space="preserve">profiles developed by the Council to identify the demand savings </w:t>
      </w:r>
      <w:r w:rsidR="004605F2" w:rsidRPr="00627DA0">
        <w:t xml:space="preserve">from each measure </w:t>
      </w:r>
      <w:r w:rsidR="002D4D4F" w:rsidRPr="00627DA0">
        <w:t xml:space="preserve">that would occur at the time of </w:t>
      </w:r>
      <w:r w:rsidR="0032364D" w:rsidRPr="00627DA0">
        <w:t>Inland Power</w:t>
      </w:r>
      <w:r w:rsidR="002D4D4F" w:rsidRPr="00627DA0">
        <w:t xml:space="preserve">’s </w:t>
      </w:r>
      <w:r w:rsidR="00B11D52" w:rsidRPr="00627DA0">
        <w:t>system peak.</w:t>
      </w:r>
      <w:r w:rsidR="00677C0D" w:rsidRPr="00627DA0">
        <w:t xml:space="preserve"> Th</w:t>
      </w:r>
      <w:r w:rsidR="00952D72" w:rsidRPr="00627DA0">
        <w:t xml:space="preserve">e </w:t>
      </w:r>
      <w:r w:rsidR="00793E43" w:rsidRPr="00627DA0">
        <w:t xml:space="preserve">cost-effective </w:t>
      </w:r>
      <w:r w:rsidR="00952D72" w:rsidRPr="00627DA0">
        <w:t xml:space="preserve">energy savings potential </w:t>
      </w:r>
      <w:r w:rsidR="00FE1345" w:rsidRPr="00627DA0">
        <w:t>identified in th</w:t>
      </w:r>
      <w:r w:rsidR="00677C0D" w:rsidRPr="00627DA0">
        <w:t xml:space="preserve">is assessment </w:t>
      </w:r>
      <w:r w:rsidR="00FE1345" w:rsidRPr="00627DA0">
        <w:t>will result in</w:t>
      </w:r>
      <w:r w:rsidR="000C0106" w:rsidRPr="00627DA0">
        <w:t xml:space="preserve"> over</w:t>
      </w:r>
      <w:r w:rsidR="00FE1345" w:rsidRPr="00627DA0">
        <w:t xml:space="preserve"> </w:t>
      </w:r>
      <w:r w:rsidR="0032458A" w:rsidRPr="00627DA0">
        <w:t>3</w:t>
      </w:r>
      <w:r w:rsidR="004D259B" w:rsidRPr="00627DA0">
        <w:t>9</w:t>
      </w:r>
      <w:r w:rsidR="008F53B0" w:rsidRPr="00627DA0">
        <w:t xml:space="preserve"> </w:t>
      </w:r>
      <w:r w:rsidR="00534960" w:rsidRPr="00627DA0">
        <w:t xml:space="preserve">MW of </w:t>
      </w:r>
      <w:r w:rsidR="00DE7435" w:rsidRPr="00627DA0">
        <w:t xml:space="preserve">winter </w:t>
      </w:r>
      <w:r w:rsidR="00050A43" w:rsidRPr="00627DA0">
        <w:t>peak demand savings</w:t>
      </w:r>
      <w:r w:rsidR="005F5C57" w:rsidRPr="00627DA0">
        <w:t xml:space="preserve"> </w:t>
      </w:r>
      <w:r w:rsidR="002A0DC3" w:rsidRPr="00627DA0">
        <w:t>o</w:t>
      </w:r>
      <w:r w:rsidR="002A0DC3" w:rsidRPr="00627DA0">
        <w:rPr>
          <w:bCs/>
          <w:szCs w:val="20"/>
        </w:rPr>
        <w:t>ver the 2</w:t>
      </w:r>
      <w:r w:rsidR="0072696E" w:rsidRPr="00627DA0">
        <w:rPr>
          <w:bCs/>
          <w:szCs w:val="20"/>
        </w:rPr>
        <w:t>0</w:t>
      </w:r>
      <w:r w:rsidR="002A0DC3" w:rsidRPr="00627DA0">
        <w:rPr>
          <w:bCs/>
          <w:szCs w:val="20"/>
        </w:rPr>
        <w:t>-year planning period</w:t>
      </w:r>
      <w:r w:rsidR="00030289" w:rsidRPr="00627DA0">
        <w:t xml:space="preserve">, as shown in </w:t>
      </w:r>
      <w:r w:rsidR="00B1765D" w:rsidRPr="00627DA0">
        <w:fldChar w:fldCharType="begin"/>
      </w:r>
      <w:r w:rsidR="00B1765D" w:rsidRPr="00627DA0">
        <w:instrText xml:space="preserve"> REF _Ref61018763 \h </w:instrText>
      </w:r>
      <w:r w:rsidR="00B1765D" w:rsidRPr="00627DA0">
        <w:fldChar w:fldCharType="separate"/>
      </w:r>
      <w:r w:rsidR="00431297" w:rsidRPr="00627DA0">
        <w:t>Table 2</w:t>
      </w:r>
      <w:r w:rsidR="00B1765D" w:rsidRPr="00627DA0">
        <w:fldChar w:fldCharType="end"/>
      </w:r>
      <w:r w:rsidR="00050A43" w:rsidRPr="00627DA0">
        <w:t>.</w:t>
      </w:r>
      <w:r w:rsidR="00B576CB" w:rsidRPr="00627DA0">
        <w:t xml:space="preserve"> This represents</w:t>
      </w:r>
      <w:r w:rsidR="00B13219" w:rsidRPr="00627DA0">
        <w:t xml:space="preserve"> approximately</w:t>
      </w:r>
      <w:r w:rsidR="00B576CB" w:rsidRPr="00627DA0">
        <w:t xml:space="preserve"> </w:t>
      </w:r>
      <w:r w:rsidR="00B13219" w:rsidRPr="00627DA0">
        <w:t>1</w:t>
      </w:r>
      <w:r w:rsidR="000C0106" w:rsidRPr="00627DA0">
        <w:t>5</w:t>
      </w:r>
      <w:r w:rsidR="00B576CB" w:rsidRPr="00627DA0">
        <w:t xml:space="preserve">% of </w:t>
      </w:r>
      <w:r w:rsidR="0032364D" w:rsidRPr="00627DA0">
        <w:t>Inland Power</w:t>
      </w:r>
      <w:r w:rsidR="00B576CB" w:rsidRPr="00627DA0">
        <w:t>’s projected 20</w:t>
      </w:r>
      <w:r w:rsidR="00317C80" w:rsidRPr="00627DA0">
        <w:t>4</w:t>
      </w:r>
      <w:r w:rsidR="00CD2A64" w:rsidRPr="00627DA0">
        <w:t>5</w:t>
      </w:r>
      <w:r w:rsidR="00B576CB" w:rsidRPr="00627DA0">
        <w:t xml:space="preserve"> peak demand.</w:t>
      </w:r>
      <w:r w:rsidR="00BE6D6B" w:rsidRPr="00627DA0">
        <w:t xml:space="preserve"> Energy efficiency savings tend to </w:t>
      </w:r>
      <w:r w:rsidR="00AF6F8B" w:rsidRPr="00627DA0">
        <w:t xml:space="preserve">occur when demand for energy </w:t>
      </w:r>
      <w:r w:rsidR="00175993" w:rsidRPr="00627DA0">
        <w:t>is</w:t>
      </w:r>
      <w:r w:rsidR="00AF6F8B" w:rsidRPr="00627DA0">
        <w:t xml:space="preserve"> the greatest, resulting in significant contributions to reductions in peak demand.</w:t>
      </w:r>
    </w:p>
    <w:p w14:paraId="71861DF9" w14:textId="446E8B27" w:rsidR="006B1350" w:rsidRPr="00627DA0" w:rsidRDefault="001D1419" w:rsidP="00D734DD">
      <w:pPr>
        <w:pStyle w:val="Caption"/>
        <w:spacing w:before="240"/>
        <w:rPr>
          <w:rFonts w:asciiTheme="minorHAnsi" w:hAnsiTheme="minorHAnsi"/>
        </w:rPr>
      </w:pPr>
      <w:bookmarkStart w:id="18" w:name="_Ref61018763"/>
      <w:bookmarkStart w:id="19" w:name="_Toc207870731"/>
      <w:r w:rsidRPr="00627DA0">
        <w:lastRenderedPageBreak/>
        <w:t xml:space="preserve">Table </w:t>
      </w:r>
      <w:fldSimple w:instr=" SEQ Table \* ARABIC ">
        <w:r w:rsidR="00431297" w:rsidRPr="00627DA0">
          <w:t>2</w:t>
        </w:r>
      </w:fldSimple>
      <w:bookmarkEnd w:id="18"/>
      <w:r w:rsidRPr="00627DA0">
        <w:t>: Peak Demand Savings</w:t>
      </w:r>
      <w:r w:rsidR="00BC0241" w:rsidRPr="00627DA0">
        <w:t xml:space="preserve"> </w:t>
      </w:r>
      <w:r w:rsidR="0041549C" w:rsidRPr="00627DA0">
        <w:t>from</w:t>
      </w:r>
      <w:r w:rsidR="008C6B33" w:rsidRPr="00627DA0">
        <w:t xml:space="preserve"> Cost-Effective</w:t>
      </w:r>
      <w:r w:rsidR="0041549C" w:rsidRPr="00627DA0">
        <w:t xml:space="preserve"> Energy Efficiency </w:t>
      </w:r>
      <w:r w:rsidR="00BC0241" w:rsidRPr="00627DA0">
        <w:t>Potential</w:t>
      </w:r>
      <w:r w:rsidRPr="00627DA0">
        <w:t xml:space="preserve"> </w:t>
      </w:r>
      <w:r w:rsidR="00161FDC" w:rsidRPr="00627DA0">
        <w:t xml:space="preserve">by Sector </w:t>
      </w:r>
      <w:r w:rsidRPr="00627DA0">
        <w:t>(MW)</w:t>
      </w:r>
      <w:bookmarkEnd w:id="19"/>
    </w:p>
    <w:tbl>
      <w:tblPr>
        <w:tblW w:w="7820" w:type="dxa"/>
        <w:jc w:val="center"/>
        <w:tblLook w:val="04A0" w:firstRow="1" w:lastRow="0" w:firstColumn="1" w:lastColumn="0" w:noHBand="0" w:noVBand="1"/>
      </w:tblPr>
      <w:tblGrid>
        <w:gridCol w:w="1980"/>
        <w:gridCol w:w="1600"/>
        <w:gridCol w:w="1420"/>
        <w:gridCol w:w="1280"/>
        <w:gridCol w:w="1540"/>
      </w:tblGrid>
      <w:tr w:rsidR="00EF4543" w:rsidRPr="00627DA0" w14:paraId="11DDDEB8" w14:textId="77777777" w:rsidTr="00EF4543">
        <w:trPr>
          <w:trHeight w:val="330"/>
          <w:jc w:val="center"/>
        </w:trPr>
        <w:tc>
          <w:tcPr>
            <w:tcW w:w="1980" w:type="dxa"/>
            <w:tcBorders>
              <w:top w:val="single" w:sz="12" w:space="0" w:color="auto"/>
              <w:left w:val="nil"/>
              <w:bottom w:val="single" w:sz="12" w:space="0" w:color="auto"/>
              <w:right w:val="nil"/>
            </w:tcBorders>
            <w:shd w:val="clear" w:color="000000" w:fill="002C7C"/>
            <w:noWrap/>
            <w:vAlign w:val="center"/>
            <w:hideMark/>
          </w:tcPr>
          <w:p w14:paraId="0D1C94E7" w14:textId="77777777" w:rsidR="00EF4543" w:rsidRPr="00627DA0" w:rsidRDefault="00EF4543" w:rsidP="00EF4543">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Sector</w:t>
            </w:r>
          </w:p>
        </w:tc>
        <w:tc>
          <w:tcPr>
            <w:tcW w:w="1600" w:type="dxa"/>
            <w:tcBorders>
              <w:top w:val="single" w:sz="12" w:space="0" w:color="auto"/>
              <w:left w:val="nil"/>
              <w:bottom w:val="single" w:sz="12" w:space="0" w:color="auto"/>
              <w:right w:val="nil"/>
            </w:tcBorders>
            <w:shd w:val="clear" w:color="000000" w:fill="002C7C"/>
            <w:noWrap/>
            <w:vAlign w:val="center"/>
            <w:hideMark/>
          </w:tcPr>
          <w:p w14:paraId="1C890D27" w14:textId="77777777" w:rsidR="00EF4543" w:rsidRPr="00627DA0" w:rsidRDefault="00EF4543" w:rsidP="00EF4543">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2-Year</w:t>
            </w:r>
          </w:p>
        </w:tc>
        <w:tc>
          <w:tcPr>
            <w:tcW w:w="1420" w:type="dxa"/>
            <w:tcBorders>
              <w:top w:val="single" w:sz="12" w:space="0" w:color="auto"/>
              <w:left w:val="nil"/>
              <w:bottom w:val="single" w:sz="12" w:space="0" w:color="auto"/>
              <w:right w:val="nil"/>
            </w:tcBorders>
            <w:shd w:val="clear" w:color="000000" w:fill="002C7C"/>
            <w:noWrap/>
            <w:vAlign w:val="center"/>
            <w:hideMark/>
          </w:tcPr>
          <w:p w14:paraId="50CA6397" w14:textId="77777777" w:rsidR="00EF4543" w:rsidRPr="00627DA0" w:rsidRDefault="00EF4543" w:rsidP="00EF4543">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4-Year</w:t>
            </w:r>
          </w:p>
        </w:tc>
        <w:tc>
          <w:tcPr>
            <w:tcW w:w="1280" w:type="dxa"/>
            <w:tcBorders>
              <w:top w:val="single" w:sz="12" w:space="0" w:color="auto"/>
              <w:left w:val="nil"/>
              <w:bottom w:val="single" w:sz="12" w:space="0" w:color="auto"/>
              <w:right w:val="nil"/>
            </w:tcBorders>
            <w:shd w:val="clear" w:color="000000" w:fill="002C7C"/>
            <w:noWrap/>
            <w:vAlign w:val="center"/>
            <w:hideMark/>
          </w:tcPr>
          <w:p w14:paraId="7F5B6A33" w14:textId="77777777" w:rsidR="00EF4543" w:rsidRPr="00627DA0" w:rsidRDefault="00EF4543" w:rsidP="00EF4543">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10-Year</w:t>
            </w:r>
          </w:p>
        </w:tc>
        <w:tc>
          <w:tcPr>
            <w:tcW w:w="1540" w:type="dxa"/>
            <w:tcBorders>
              <w:top w:val="single" w:sz="12" w:space="0" w:color="auto"/>
              <w:left w:val="nil"/>
              <w:bottom w:val="single" w:sz="12" w:space="0" w:color="auto"/>
              <w:right w:val="nil"/>
            </w:tcBorders>
            <w:shd w:val="clear" w:color="000000" w:fill="002C7C"/>
            <w:noWrap/>
            <w:vAlign w:val="center"/>
            <w:hideMark/>
          </w:tcPr>
          <w:p w14:paraId="71061844" w14:textId="77777777" w:rsidR="00EF4543" w:rsidRPr="00627DA0" w:rsidRDefault="00EF4543" w:rsidP="00EF4543">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20-Year</w:t>
            </w:r>
          </w:p>
        </w:tc>
      </w:tr>
      <w:tr w:rsidR="00280F6B" w:rsidRPr="00627DA0" w14:paraId="7DA374CC" w14:textId="77777777" w:rsidTr="00EF4543">
        <w:trPr>
          <w:trHeight w:val="315"/>
          <w:jc w:val="center"/>
        </w:trPr>
        <w:tc>
          <w:tcPr>
            <w:tcW w:w="1980" w:type="dxa"/>
            <w:tcBorders>
              <w:top w:val="nil"/>
              <w:left w:val="nil"/>
              <w:bottom w:val="nil"/>
              <w:right w:val="nil"/>
            </w:tcBorders>
            <w:shd w:val="clear" w:color="000000" w:fill="FFFFFF"/>
            <w:noWrap/>
            <w:vAlign w:val="center"/>
            <w:hideMark/>
          </w:tcPr>
          <w:p w14:paraId="07B5EF9F" w14:textId="77777777" w:rsidR="00280F6B" w:rsidRPr="00627DA0" w:rsidRDefault="00280F6B" w:rsidP="00280F6B">
            <w:pPr>
              <w:spacing w:after="0" w:line="240" w:lineRule="auto"/>
              <w:jc w:val="left"/>
              <w:rPr>
                <w:rFonts w:eastAsia="Times New Roman" w:cs="Calibri"/>
                <w:color w:val="000000"/>
                <w:sz w:val="20"/>
                <w:szCs w:val="20"/>
              </w:rPr>
            </w:pPr>
            <w:r w:rsidRPr="00627DA0">
              <w:rPr>
                <w:rFonts w:eastAsia="Times New Roman" w:cs="Calibri"/>
                <w:color w:val="000000"/>
                <w:sz w:val="20"/>
                <w:szCs w:val="20"/>
              </w:rPr>
              <w:t>Residential</w:t>
            </w:r>
          </w:p>
        </w:tc>
        <w:tc>
          <w:tcPr>
            <w:tcW w:w="1600" w:type="dxa"/>
            <w:tcBorders>
              <w:top w:val="nil"/>
              <w:left w:val="nil"/>
              <w:bottom w:val="nil"/>
              <w:right w:val="nil"/>
            </w:tcBorders>
            <w:noWrap/>
            <w:vAlign w:val="center"/>
            <w:hideMark/>
          </w:tcPr>
          <w:p w14:paraId="69B651C5" w14:textId="0C73E3FF"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0.4</w:t>
            </w:r>
          </w:p>
        </w:tc>
        <w:tc>
          <w:tcPr>
            <w:tcW w:w="1420" w:type="dxa"/>
            <w:tcBorders>
              <w:top w:val="nil"/>
              <w:left w:val="nil"/>
              <w:bottom w:val="nil"/>
              <w:right w:val="nil"/>
            </w:tcBorders>
            <w:noWrap/>
            <w:vAlign w:val="center"/>
            <w:hideMark/>
          </w:tcPr>
          <w:p w14:paraId="126BD673" w14:textId="3C4559B3"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1.3</w:t>
            </w:r>
          </w:p>
        </w:tc>
        <w:tc>
          <w:tcPr>
            <w:tcW w:w="1280" w:type="dxa"/>
            <w:tcBorders>
              <w:top w:val="nil"/>
              <w:left w:val="nil"/>
              <w:bottom w:val="nil"/>
              <w:right w:val="nil"/>
            </w:tcBorders>
            <w:noWrap/>
            <w:vAlign w:val="center"/>
            <w:hideMark/>
          </w:tcPr>
          <w:p w14:paraId="4E0EB21F" w14:textId="4A49FC2C"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8.2</w:t>
            </w:r>
          </w:p>
        </w:tc>
        <w:tc>
          <w:tcPr>
            <w:tcW w:w="1540" w:type="dxa"/>
            <w:tcBorders>
              <w:top w:val="nil"/>
              <w:left w:val="nil"/>
              <w:bottom w:val="nil"/>
              <w:right w:val="nil"/>
            </w:tcBorders>
            <w:noWrap/>
            <w:vAlign w:val="center"/>
            <w:hideMark/>
          </w:tcPr>
          <w:p w14:paraId="24D43FE2" w14:textId="49C3C93B"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26.8</w:t>
            </w:r>
          </w:p>
        </w:tc>
      </w:tr>
      <w:tr w:rsidR="00280F6B" w:rsidRPr="00627DA0" w14:paraId="76B5BEF6" w14:textId="77777777" w:rsidTr="00EF4543">
        <w:trPr>
          <w:trHeight w:val="300"/>
          <w:jc w:val="center"/>
        </w:trPr>
        <w:tc>
          <w:tcPr>
            <w:tcW w:w="1980" w:type="dxa"/>
            <w:tcBorders>
              <w:top w:val="nil"/>
              <w:left w:val="nil"/>
              <w:bottom w:val="nil"/>
              <w:right w:val="nil"/>
            </w:tcBorders>
            <w:shd w:val="clear" w:color="000000" w:fill="E7E6E6"/>
            <w:noWrap/>
            <w:vAlign w:val="center"/>
            <w:hideMark/>
          </w:tcPr>
          <w:p w14:paraId="02C4C30E" w14:textId="77777777" w:rsidR="00280F6B" w:rsidRPr="00627DA0" w:rsidRDefault="00280F6B" w:rsidP="00280F6B">
            <w:pPr>
              <w:spacing w:after="0" w:line="240" w:lineRule="auto"/>
              <w:jc w:val="left"/>
              <w:rPr>
                <w:rFonts w:eastAsia="Times New Roman" w:cs="Calibri"/>
                <w:color w:val="000000"/>
                <w:sz w:val="20"/>
                <w:szCs w:val="20"/>
              </w:rPr>
            </w:pPr>
            <w:r w:rsidRPr="00627DA0">
              <w:rPr>
                <w:rFonts w:eastAsia="Times New Roman" w:cs="Calibri"/>
                <w:color w:val="000000"/>
                <w:sz w:val="20"/>
                <w:szCs w:val="20"/>
              </w:rPr>
              <w:t>Commercial</w:t>
            </w:r>
          </w:p>
        </w:tc>
        <w:tc>
          <w:tcPr>
            <w:tcW w:w="1600" w:type="dxa"/>
            <w:tcBorders>
              <w:top w:val="nil"/>
              <w:left w:val="nil"/>
              <w:bottom w:val="nil"/>
              <w:right w:val="nil"/>
            </w:tcBorders>
            <w:shd w:val="clear" w:color="000000" w:fill="E7E6E6"/>
            <w:noWrap/>
            <w:vAlign w:val="center"/>
            <w:hideMark/>
          </w:tcPr>
          <w:p w14:paraId="517B96D3" w14:textId="18847FC9"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0.1</w:t>
            </w:r>
          </w:p>
        </w:tc>
        <w:tc>
          <w:tcPr>
            <w:tcW w:w="1420" w:type="dxa"/>
            <w:tcBorders>
              <w:top w:val="nil"/>
              <w:left w:val="nil"/>
              <w:bottom w:val="nil"/>
              <w:right w:val="nil"/>
            </w:tcBorders>
            <w:shd w:val="clear" w:color="000000" w:fill="E7E6E6"/>
            <w:noWrap/>
            <w:vAlign w:val="center"/>
            <w:hideMark/>
          </w:tcPr>
          <w:p w14:paraId="0D55F2FA" w14:textId="27379FBA"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0.4</w:t>
            </w:r>
          </w:p>
        </w:tc>
        <w:tc>
          <w:tcPr>
            <w:tcW w:w="1280" w:type="dxa"/>
            <w:tcBorders>
              <w:top w:val="nil"/>
              <w:left w:val="nil"/>
              <w:bottom w:val="nil"/>
              <w:right w:val="nil"/>
            </w:tcBorders>
            <w:shd w:val="clear" w:color="000000" w:fill="E7E6E6"/>
            <w:noWrap/>
            <w:vAlign w:val="center"/>
            <w:hideMark/>
          </w:tcPr>
          <w:p w14:paraId="35570E87" w14:textId="7B14575F"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2.7</w:t>
            </w:r>
          </w:p>
        </w:tc>
        <w:tc>
          <w:tcPr>
            <w:tcW w:w="1540" w:type="dxa"/>
            <w:tcBorders>
              <w:top w:val="nil"/>
              <w:left w:val="nil"/>
              <w:bottom w:val="nil"/>
              <w:right w:val="nil"/>
            </w:tcBorders>
            <w:shd w:val="clear" w:color="000000" w:fill="E7E6E6"/>
            <w:noWrap/>
            <w:vAlign w:val="center"/>
            <w:hideMark/>
          </w:tcPr>
          <w:p w14:paraId="67D5233D" w14:textId="0FDA9136"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8.8</w:t>
            </w:r>
          </w:p>
        </w:tc>
      </w:tr>
      <w:tr w:rsidR="00280F6B" w:rsidRPr="00627DA0" w14:paraId="680A7829" w14:textId="77777777" w:rsidTr="00EF4543">
        <w:trPr>
          <w:trHeight w:val="300"/>
          <w:jc w:val="center"/>
        </w:trPr>
        <w:tc>
          <w:tcPr>
            <w:tcW w:w="1980" w:type="dxa"/>
            <w:tcBorders>
              <w:top w:val="nil"/>
              <w:left w:val="nil"/>
              <w:bottom w:val="nil"/>
              <w:right w:val="nil"/>
            </w:tcBorders>
            <w:shd w:val="clear" w:color="000000" w:fill="FFFFFF"/>
            <w:noWrap/>
            <w:vAlign w:val="center"/>
            <w:hideMark/>
          </w:tcPr>
          <w:p w14:paraId="356BE179" w14:textId="77777777" w:rsidR="00280F6B" w:rsidRPr="00627DA0" w:rsidRDefault="00280F6B" w:rsidP="00280F6B">
            <w:pPr>
              <w:spacing w:after="0" w:line="240" w:lineRule="auto"/>
              <w:jc w:val="left"/>
              <w:rPr>
                <w:rFonts w:eastAsia="Times New Roman" w:cs="Calibri"/>
                <w:color w:val="000000"/>
                <w:sz w:val="20"/>
                <w:szCs w:val="20"/>
              </w:rPr>
            </w:pPr>
            <w:r w:rsidRPr="00627DA0">
              <w:rPr>
                <w:rFonts w:eastAsia="Times New Roman" w:cs="Calibri"/>
                <w:color w:val="000000"/>
                <w:sz w:val="20"/>
                <w:szCs w:val="20"/>
              </w:rPr>
              <w:t>Industrial</w:t>
            </w:r>
          </w:p>
        </w:tc>
        <w:tc>
          <w:tcPr>
            <w:tcW w:w="1600" w:type="dxa"/>
            <w:tcBorders>
              <w:top w:val="nil"/>
              <w:left w:val="nil"/>
              <w:bottom w:val="nil"/>
              <w:right w:val="nil"/>
            </w:tcBorders>
            <w:noWrap/>
            <w:vAlign w:val="center"/>
            <w:hideMark/>
          </w:tcPr>
          <w:p w14:paraId="06B5AD69" w14:textId="095740A4"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420" w:type="dxa"/>
            <w:tcBorders>
              <w:top w:val="nil"/>
              <w:left w:val="nil"/>
              <w:bottom w:val="nil"/>
              <w:right w:val="nil"/>
            </w:tcBorders>
            <w:noWrap/>
            <w:vAlign w:val="center"/>
            <w:hideMark/>
          </w:tcPr>
          <w:p w14:paraId="02CA4F71" w14:textId="7F9D18FD"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280" w:type="dxa"/>
            <w:tcBorders>
              <w:top w:val="nil"/>
              <w:left w:val="nil"/>
              <w:bottom w:val="nil"/>
              <w:right w:val="nil"/>
            </w:tcBorders>
            <w:noWrap/>
            <w:vAlign w:val="center"/>
            <w:hideMark/>
          </w:tcPr>
          <w:p w14:paraId="265661AB" w14:textId="1E7ED9C1"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0.4</w:t>
            </w:r>
          </w:p>
        </w:tc>
        <w:tc>
          <w:tcPr>
            <w:tcW w:w="1540" w:type="dxa"/>
            <w:tcBorders>
              <w:top w:val="nil"/>
              <w:left w:val="nil"/>
              <w:bottom w:val="nil"/>
              <w:right w:val="nil"/>
            </w:tcBorders>
            <w:noWrap/>
            <w:vAlign w:val="center"/>
            <w:hideMark/>
          </w:tcPr>
          <w:p w14:paraId="5AED98C4" w14:textId="25AC7666"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1.5</w:t>
            </w:r>
          </w:p>
        </w:tc>
      </w:tr>
      <w:tr w:rsidR="00280F6B" w:rsidRPr="00627DA0" w14:paraId="7C2110BB" w14:textId="77777777" w:rsidTr="00EF4543">
        <w:trPr>
          <w:trHeight w:val="300"/>
          <w:jc w:val="center"/>
        </w:trPr>
        <w:tc>
          <w:tcPr>
            <w:tcW w:w="1980" w:type="dxa"/>
            <w:tcBorders>
              <w:top w:val="nil"/>
              <w:left w:val="nil"/>
              <w:bottom w:val="nil"/>
              <w:right w:val="nil"/>
            </w:tcBorders>
            <w:shd w:val="clear" w:color="000000" w:fill="E7E6E6"/>
            <w:noWrap/>
            <w:vAlign w:val="center"/>
            <w:hideMark/>
          </w:tcPr>
          <w:p w14:paraId="74B09861" w14:textId="77777777" w:rsidR="00280F6B" w:rsidRPr="00627DA0" w:rsidRDefault="00280F6B" w:rsidP="00280F6B">
            <w:pPr>
              <w:spacing w:after="0" w:line="240" w:lineRule="auto"/>
              <w:jc w:val="left"/>
              <w:rPr>
                <w:rFonts w:eastAsia="Times New Roman" w:cs="Calibri"/>
                <w:color w:val="000000"/>
                <w:sz w:val="20"/>
                <w:szCs w:val="20"/>
              </w:rPr>
            </w:pPr>
            <w:r w:rsidRPr="00627DA0">
              <w:rPr>
                <w:rFonts w:eastAsia="Times New Roman" w:cs="Calibri"/>
                <w:color w:val="000000"/>
                <w:sz w:val="20"/>
                <w:szCs w:val="20"/>
              </w:rPr>
              <w:t>Utility</w:t>
            </w:r>
          </w:p>
        </w:tc>
        <w:tc>
          <w:tcPr>
            <w:tcW w:w="1600" w:type="dxa"/>
            <w:tcBorders>
              <w:top w:val="nil"/>
              <w:left w:val="nil"/>
              <w:bottom w:val="nil"/>
              <w:right w:val="nil"/>
            </w:tcBorders>
            <w:shd w:val="clear" w:color="000000" w:fill="E7E6E6"/>
            <w:noWrap/>
            <w:vAlign w:val="center"/>
            <w:hideMark/>
          </w:tcPr>
          <w:p w14:paraId="35D2B920" w14:textId="124ACAC1"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420" w:type="dxa"/>
            <w:tcBorders>
              <w:top w:val="nil"/>
              <w:left w:val="nil"/>
              <w:bottom w:val="nil"/>
              <w:right w:val="nil"/>
            </w:tcBorders>
            <w:shd w:val="clear" w:color="000000" w:fill="E7E6E6"/>
            <w:noWrap/>
            <w:vAlign w:val="center"/>
            <w:hideMark/>
          </w:tcPr>
          <w:p w14:paraId="7014CC13" w14:textId="73D30BB4"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0.1</w:t>
            </w:r>
          </w:p>
        </w:tc>
        <w:tc>
          <w:tcPr>
            <w:tcW w:w="1280" w:type="dxa"/>
            <w:tcBorders>
              <w:top w:val="nil"/>
              <w:left w:val="nil"/>
              <w:bottom w:val="nil"/>
              <w:right w:val="nil"/>
            </w:tcBorders>
            <w:shd w:val="clear" w:color="000000" w:fill="E7E6E6"/>
            <w:noWrap/>
            <w:vAlign w:val="center"/>
            <w:hideMark/>
          </w:tcPr>
          <w:p w14:paraId="68E5F1BB" w14:textId="580803DD"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0.7</w:t>
            </w:r>
          </w:p>
        </w:tc>
        <w:tc>
          <w:tcPr>
            <w:tcW w:w="1540" w:type="dxa"/>
            <w:tcBorders>
              <w:top w:val="nil"/>
              <w:left w:val="nil"/>
              <w:bottom w:val="nil"/>
              <w:right w:val="nil"/>
            </w:tcBorders>
            <w:shd w:val="clear" w:color="000000" w:fill="E7E6E6"/>
            <w:noWrap/>
            <w:vAlign w:val="center"/>
            <w:hideMark/>
          </w:tcPr>
          <w:p w14:paraId="58778473" w14:textId="165AA1AB"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2.0</w:t>
            </w:r>
          </w:p>
        </w:tc>
      </w:tr>
      <w:tr w:rsidR="00280F6B" w:rsidRPr="00627DA0" w14:paraId="3D477EDE" w14:textId="77777777" w:rsidTr="00EF4543">
        <w:trPr>
          <w:trHeight w:val="315"/>
          <w:jc w:val="center"/>
        </w:trPr>
        <w:tc>
          <w:tcPr>
            <w:tcW w:w="1980" w:type="dxa"/>
            <w:tcBorders>
              <w:top w:val="nil"/>
              <w:left w:val="nil"/>
              <w:bottom w:val="single" w:sz="8" w:space="0" w:color="002C7C"/>
              <w:right w:val="nil"/>
            </w:tcBorders>
            <w:shd w:val="clear" w:color="000000" w:fill="FFFFFF"/>
            <w:noWrap/>
            <w:vAlign w:val="center"/>
            <w:hideMark/>
          </w:tcPr>
          <w:p w14:paraId="1B8BD7C9" w14:textId="77777777" w:rsidR="00280F6B" w:rsidRPr="00627DA0" w:rsidRDefault="00280F6B" w:rsidP="00280F6B">
            <w:pPr>
              <w:spacing w:after="0" w:line="240" w:lineRule="auto"/>
              <w:jc w:val="left"/>
              <w:rPr>
                <w:rFonts w:eastAsia="Times New Roman" w:cs="Calibri"/>
                <w:color w:val="000000"/>
                <w:sz w:val="20"/>
                <w:szCs w:val="20"/>
              </w:rPr>
            </w:pPr>
            <w:r w:rsidRPr="00627DA0">
              <w:rPr>
                <w:rFonts w:eastAsia="Times New Roman" w:cs="Calibri"/>
                <w:color w:val="000000"/>
                <w:sz w:val="20"/>
                <w:szCs w:val="20"/>
              </w:rPr>
              <w:t>Agricultural</w:t>
            </w:r>
          </w:p>
        </w:tc>
        <w:tc>
          <w:tcPr>
            <w:tcW w:w="1600" w:type="dxa"/>
            <w:tcBorders>
              <w:top w:val="nil"/>
              <w:left w:val="nil"/>
              <w:bottom w:val="single" w:sz="8" w:space="0" w:color="002C7C"/>
              <w:right w:val="nil"/>
            </w:tcBorders>
            <w:noWrap/>
            <w:vAlign w:val="center"/>
            <w:hideMark/>
          </w:tcPr>
          <w:p w14:paraId="5EE20B9D" w14:textId="403BAEAA"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420" w:type="dxa"/>
            <w:tcBorders>
              <w:top w:val="nil"/>
              <w:left w:val="nil"/>
              <w:bottom w:val="single" w:sz="8" w:space="0" w:color="002C7C"/>
              <w:right w:val="nil"/>
            </w:tcBorders>
            <w:noWrap/>
            <w:vAlign w:val="center"/>
            <w:hideMark/>
          </w:tcPr>
          <w:p w14:paraId="20E47ED2" w14:textId="783AC9AF"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280" w:type="dxa"/>
            <w:tcBorders>
              <w:top w:val="nil"/>
              <w:left w:val="nil"/>
              <w:bottom w:val="single" w:sz="8" w:space="0" w:color="002C7C"/>
              <w:right w:val="nil"/>
            </w:tcBorders>
            <w:noWrap/>
            <w:vAlign w:val="center"/>
            <w:hideMark/>
          </w:tcPr>
          <w:p w14:paraId="78E210A2" w14:textId="0B8D4B27"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0.0</w:t>
            </w:r>
          </w:p>
        </w:tc>
        <w:tc>
          <w:tcPr>
            <w:tcW w:w="1540" w:type="dxa"/>
            <w:tcBorders>
              <w:top w:val="nil"/>
              <w:left w:val="nil"/>
              <w:bottom w:val="single" w:sz="8" w:space="0" w:color="002C7C"/>
              <w:right w:val="nil"/>
            </w:tcBorders>
            <w:noWrap/>
            <w:vAlign w:val="center"/>
            <w:hideMark/>
          </w:tcPr>
          <w:p w14:paraId="13A50899" w14:textId="06ED3A77" w:rsidR="00280F6B" w:rsidRPr="00627DA0" w:rsidRDefault="00280F6B" w:rsidP="00280F6B">
            <w:pPr>
              <w:spacing w:after="0" w:line="240" w:lineRule="auto"/>
              <w:jc w:val="right"/>
              <w:rPr>
                <w:rFonts w:eastAsia="Times New Roman" w:cs="Calibri"/>
                <w:color w:val="000000"/>
                <w:sz w:val="20"/>
                <w:szCs w:val="20"/>
              </w:rPr>
            </w:pPr>
            <w:r w:rsidRPr="00627DA0">
              <w:rPr>
                <w:rFonts w:cs="Calibri"/>
                <w:color w:val="000000"/>
                <w:sz w:val="20"/>
                <w:szCs w:val="20"/>
              </w:rPr>
              <w:t>0.1</w:t>
            </w:r>
          </w:p>
        </w:tc>
      </w:tr>
      <w:tr w:rsidR="00280F6B" w:rsidRPr="00627DA0" w14:paraId="103CD5FC" w14:textId="77777777" w:rsidTr="00EF4543">
        <w:trPr>
          <w:trHeight w:val="315"/>
          <w:jc w:val="center"/>
        </w:trPr>
        <w:tc>
          <w:tcPr>
            <w:tcW w:w="1980" w:type="dxa"/>
            <w:tcBorders>
              <w:top w:val="nil"/>
              <w:left w:val="nil"/>
              <w:bottom w:val="single" w:sz="8" w:space="0" w:color="002C7C"/>
              <w:right w:val="nil"/>
            </w:tcBorders>
            <w:shd w:val="clear" w:color="000000" w:fill="F2F2F2"/>
            <w:noWrap/>
            <w:vAlign w:val="center"/>
            <w:hideMark/>
          </w:tcPr>
          <w:p w14:paraId="7ADAE7B5" w14:textId="77777777" w:rsidR="00280F6B" w:rsidRPr="00627DA0" w:rsidRDefault="00280F6B" w:rsidP="00280F6B">
            <w:pPr>
              <w:spacing w:after="0" w:line="240" w:lineRule="auto"/>
              <w:jc w:val="left"/>
              <w:rPr>
                <w:rFonts w:eastAsia="Times New Roman" w:cs="Calibri"/>
                <w:b/>
                <w:bCs/>
                <w:color w:val="000000"/>
                <w:sz w:val="20"/>
                <w:szCs w:val="20"/>
              </w:rPr>
            </w:pPr>
            <w:r w:rsidRPr="00627DA0">
              <w:rPr>
                <w:rFonts w:eastAsia="Times New Roman" w:cs="Calibri"/>
                <w:b/>
                <w:bCs/>
                <w:color w:val="000000"/>
                <w:sz w:val="20"/>
                <w:szCs w:val="20"/>
              </w:rPr>
              <w:t>Total</w:t>
            </w:r>
          </w:p>
        </w:tc>
        <w:tc>
          <w:tcPr>
            <w:tcW w:w="1600" w:type="dxa"/>
            <w:tcBorders>
              <w:top w:val="nil"/>
              <w:left w:val="nil"/>
              <w:bottom w:val="single" w:sz="8" w:space="0" w:color="002C7C"/>
              <w:right w:val="nil"/>
            </w:tcBorders>
            <w:shd w:val="clear" w:color="000000" w:fill="F2F2F2"/>
            <w:noWrap/>
            <w:vAlign w:val="center"/>
            <w:hideMark/>
          </w:tcPr>
          <w:p w14:paraId="3AF7FB86" w14:textId="5A6F41CD" w:rsidR="00280F6B" w:rsidRPr="00627DA0" w:rsidRDefault="00280F6B" w:rsidP="00280F6B">
            <w:pPr>
              <w:spacing w:after="0" w:line="240" w:lineRule="auto"/>
              <w:jc w:val="right"/>
              <w:rPr>
                <w:rFonts w:eastAsia="Times New Roman" w:cs="Calibri"/>
                <w:b/>
                <w:bCs/>
                <w:color w:val="000000"/>
                <w:sz w:val="20"/>
                <w:szCs w:val="20"/>
              </w:rPr>
            </w:pPr>
            <w:r w:rsidRPr="00627DA0">
              <w:rPr>
                <w:rFonts w:cs="Calibri"/>
                <w:b/>
                <w:bCs/>
                <w:color w:val="000000"/>
                <w:sz w:val="20"/>
                <w:szCs w:val="20"/>
              </w:rPr>
              <w:t>0.5</w:t>
            </w:r>
          </w:p>
        </w:tc>
        <w:tc>
          <w:tcPr>
            <w:tcW w:w="1420" w:type="dxa"/>
            <w:tcBorders>
              <w:top w:val="nil"/>
              <w:left w:val="nil"/>
              <w:bottom w:val="single" w:sz="8" w:space="0" w:color="002C7C"/>
              <w:right w:val="nil"/>
            </w:tcBorders>
            <w:shd w:val="clear" w:color="000000" w:fill="F2F2F2"/>
            <w:noWrap/>
            <w:vAlign w:val="center"/>
            <w:hideMark/>
          </w:tcPr>
          <w:p w14:paraId="56790564" w14:textId="15461DDC" w:rsidR="00280F6B" w:rsidRPr="00627DA0" w:rsidRDefault="00280F6B" w:rsidP="00280F6B">
            <w:pPr>
              <w:spacing w:after="0" w:line="240" w:lineRule="auto"/>
              <w:jc w:val="right"/>
              <w:rPr>
                <w:rFonts w:eastAsia="Times New Roman" w:cs="Calibri"/>
                <w:b/>
                <w:bCs/>
                <w:color w:val="000000"/>
                <w:sz w:val="20"/>
                <w:szCs w:val="20"/>
              </w:rPr>
            </w:pPr>
            <w:r w:rsidRPr="00627DA0">
              <w:rPr>
                <w:rFonts w:cs="Calibri"/>
                <w:b/>
                <w:bCs/>
                <w:color w:val="000000"/>
                <w:sz w:val="20"/>
                <w:szCs w:val="20"/>
              </w:rPr>
              <w:t>1.8</w:t>
            </w:r>
          </w:p>
        </w:tc>
        <w:tc>
          <w:tcPr>
            <w:tcW w:w="1280" w:type="dxa"/>
            <w:tcBorders>
              <w:top w:val="nil"/>
              <w:left w:val="nil"/>
              <w:bottom w:val="single" w:sz="8" w:space="0" w:color="002C7C"/>
              <w:right w:val="nil"/>
            </w:tcBorders>
            <w:shd w:val="clear" w:color="000000" w:fill="F2F2F2"/>
            <w:noWrap/>
            <w:vAlign w:val="center"/>
            <w:hideMark/>
          </w:tcPr>
          <w:p w14:paraId="7BD0B2A1" w14:textId="5B320E3F" w:rsidR="00280F6B" w:rsidRPr="00627DA0" w:rsidRDefault="00280F6B" w:rsidP="00280F6B">
            <w:pPr>
              <w:spacing w:after="0" w:line="240" w:lineRule="auto"/>
              <w:jc w:val="right"/>
              <w:rPr>
                <w:rFonts w:eastAsia="Times New Roman" w:cs="Calibri"/>
                <w:b/>
                <w:bCs/>
                <w:color w:val="000000"/>
                <w:sz w:val="20"/>
                <w:szCs w:val="20"/>
              </w:rPr>
            </w:pPr>
            <w:r w:rsidRPr="00627DA0">
              <w:rPr>
                <w:rFonts w:cs="Calibri"/>
                <w:b/>
                <w:bCs/>
                <w:color w:val="000000"/>
                <w:sz w:val="20"/>
                <w:szCs w:val="20"/>
              </w:rPr>
              <w:t>12.0</w:t>
            </w:r>
          </w:p>
        </w:tc>
        <w:tc>
          <w:tcPr>
            <w:tcW w:w="1540" w:type="dxa"/>
            <w:tcBorders>
              <w:top w:val="nil"/>
              <w:left w:val="nil"/>
              <w:bottom w:val="single" w:sz="8" w:space="0" w:color="002C7C"/>
              <w:right w:val="nil"/>
            </w:tcBorders>
            <w:shd w:val="clear" w:color="000000" w:fill="F2F2F2"/>
            <w:noWrap/>
            <w:vAlign w:val="center"/>
            <w:hideMark/>
          </w:tcPr>
          <w:p w14:paraId="1061BA82" w14:textId="412E5943" w:rsidR="00280F6B" w:rsidRPr="00627DA0" w:rsidRDefault="00280F6B" w:rsidP="00280F6B">
            <w:pPr>
              <w:spacing w:after="0" w:line="240" w:lineRule="auto"/>
              <w:jc w:val="right"/>
              <w:rPr>
                <w:rFonts w:eastAsia="Times New Roman" w:cs="Calibri"/>
                <w:b/>
                <w:bCs/>
                <w:color w:val="000000"/>
                <w:sz w:val="20"/>
                <w:szCs w:val="20"/>
              </w:rPr>
            </w:pPr>
            <w:r w:rsidRPr="00627DA0">
              <w:rPr>
                <w:rFonts w:cs="Calibri"/>
                <w:b/>
                <w:bCs/>
                <w:color w:val="000000"/>
                <w:sz w:val="20"/>
                <w:szCs w:val="20"/>
              </w:rPr>
              <w:t>39.3</w:t>
            </w:r>
          </w:p>
        </w:tc>
      </w:tr>
    </w:tbl>
    <w:p w14:paraId="1E5C04D0" w14:textId="77777777" w:rsidR="009A6ADE" w:rsidRPr="00627DA0" w:rsidRDefault="009A6ADE" w:rsidP="00EB128E"/>
    <w:p w14:paraId="718A78D0" w14:textId="12A416EF" w:rsidR="004D19E7" w:rsidRPr="00627DA0" w:rsidRDefault="007F70B7" w:rsidP="00EB128E">
      <w:r w:rsidRPr="00627DA0">
        <w:t xml:space="preserve">The estimate of annual </w:t>
      </w:r>
      <w:r w:rsidR="003D6D6A" w:rsidRPr="00627DA0">
        <w:t>cost-effective</w:t>
      </w:r>
      <w:r w:rsidR="00F07AB9" w:rsidRPr="00627DA0">
        <w:t xml:space="preserve"> </w:t>
      </w:r>
      <w:r w:rsidRPr="00627DA0">
        <w:t xml:space="preserve">potential </w:t>
      </w:r>
      <w:r w:rsidR="00BE1637" w:rsidRPr="00627DA0">
        <w:t xml:space="preserve">by sector </w:t>
      </w:r>
      <w:r w:rsidRPr="00627DA0">
        <w:t xml:space="preserve">is shown in </w:t>
      </w:r>
      <w:r w:rsidR="00B1765D" w:rsidRPr="00627DA0">
        <w:fldChar w:fldCharType="begin"/>
      </w:r>
      <w:r w:rsidR="00B1765D" w:rsidRPr="00627DA0">
        <w:instrText xml:space="preserve"> REF _Ref48056115 \h </w:instrText>
      </w:r>
      <w:r w:rsidR="00B1765D" w:rsidRPr="00627DA0">
        <w:fldChar w:fldCharType="separate"/>
      </w:r>
      <w:r w:rsidR="00431297" w:rsidRPr="00627DA0">
        <w:t>Figure 3</w:t>
      </w:r>
      <w:r w:rsidR="00B1765D" w:rsidRPr="00627DA0">
        <w:fldChar w:fldCharType="end"/>
      </w:r>
      <w:r w:rsidR="001E32C6" w:rsidRPr="00627DA0">
        <w:t xml:space="preserve">. </w:t>
      </w:r>
      <w:r w:rsidR="004D4B63" w:rsidRPr="00627DA0">
        <w:t xml:space="preserve">The available potential starts at </w:t>
      </w:r>
      <w:r w:rsidR="00A32B75" w:rsidRPr="00627DA0">
        <w:t>1,049</w:t>
      </w:r>
      <w:r w:rsidR="004D4B63" w:rsidRPr="00627DA0">
        <w:t xml:space="preserve"> MW</w:t>
      </w:r>
      <w:r w:rsidR="00FD26F6" w:rsidRPr="00627DA0">
        <w:t>h</w:t>
      </w:r>
      <w:r w:rsidR="00D53C34" w:rsidRPr="00627DA0">
        <w:t xml:space="preserve"> </w:t>
      </w:r>
      <w:r w:rsidR="0058047B" w:rsidRPr="00627DA0">
        <w:t>in 202</w:t>
      </w:r>
      <w:r w:rsidR="008A13AF" w:rsidRPr="00627DA0">
        <w:t>6</w:t>
      </w:r>
      <w:r w:rsidR="0058047B" w:rsidRPr="00627DA0">
        <w:t xml:space="preserve"> </w:t>
      </w:r>
      <w:r w:rsidR="00354D18" w:rsidRPr="00627DA0">
        <w:t xml:space="preserve">and grows to a maximum of </w:t>
      </w:r>
      <w:r w:rsidR="002B2639" w:rsidRPr="00627DA0">
        <w:t>15,068</w:t>
      </w:r>
      <w:r w:rsidR="004A5293" w:rsidRPr="00627DA0">
        <w:t xml:space="preserve"> </w:t>
      </w:r>
      <w:r w:rsidR="00354D18" w:rsidRPr="00627DA0">
        <w:t>MW</w:t>
      </w:r>
      <w:r w:rsidR="002F2ACD" w:rsidRPr="00627DA0">
        <w:t>h</w:t>
      </w:r>
      <w:r w:rsidR="00354D18" w:rsidRPr="00627DA0">
        <w:t xml:space="preserve"> </w:t>
      </w:r>
      <w:r w:rsidR="006627CD" w:rsidRPr="00627DA0">
        <w:t>in 20</w:t>
      </w:r>
      <w:r w:rsidR="00185C3A" w:rsidRPr="00627DA0">
        <w:t>3</w:t>
      </w:r>
      <w:r w:rsidR="002B2639" w:rsidRPr="00627DA0">
        <w:t>9</w:t>
      </w:r>
      <w:r w:rsidR="006627CD" w:rsidRPr="00627DA0">
        <w:t xml:space="preserve">. After that point, the available potential </w:t>
      </w:r>
      <w:r w:rsidR="00E3745B" w:rsidRPr="00627DA0">
        <w:t>d</w:t>
      </w:r>
      <w:r w:rsidR="006E3C35" w:rsidRPr="00627DA0">
        <w:t>iminish</w:t>
      </w:r>
      <w:r w:rsidR="00E3745B" w:rsidRPr="00627DA0">
        <w:t>es through the remaining years of the planning period</w:t>
      </w:r>
      <w:r w:rsidR="009869EA" w:rsidRPr="00627DA0">
        <w:t>.</w:t>
      </w:r>
    </w:p>
    <w:p w14:paraId="6D0294C0" w14:textId="534ABF53" w:rsidR="004D19E7" w:rsidRPr="00627DA0" w:rsidRDefault="00E81531" w:rsidP="00F05FF9">
      <w:pPr>
        <w:pStyle w:val="Caption"/>
        <w:spacing w:before="240"/>
      </w:pPr>
      <w:bookmarkStart w:id="20" w:name="_Ref48056115"/>
      <w:bookmarkStart w:id="21" w:name="_Toc207870702"/>
      <w:r w:rsidRPr="00627DA0">
        <w:t xml:space="preserve">Figure </w:t>
      </w:r>
      <w:fldSimple w:instr=" SEQ Figure \* ARABIC ">
        <w:r w:rsidR="00431297" w:rsidRPr="00627DA0">
          <w:t>3</w:t>
        </w:r>
      </w:fldSimple>
      <w:bookmarkEnd w:id="20"/>
      <w:r w:rsidRPr="00627DA0">
        <w:t xml:space="preserve">: Annual </w:t>
      </w:r>
      <w:r w:rsidR="0046687C" w:rsidRPr="00627DA0">
        <w:t xml:space="preserve">Incremental </w:t>
      </w:r>
      <w:r w:rsidR="004574FC" w:rsidRPr="00627DA0">
        <w:t xml:space="preserve">Cost-Effective </w:t>
      </w:r>
      <w:r w:rsidRPr="00627DA0">
        <w:t>Energy Efficiency Potential</w:t>
      </w:r>
      <w:r w:rsidR="00BC3139" w:rsidRPr="00627DA0">
        <w:t xml:space="preserve"> (MW</w:t>
      </w:r>
      <w:r w:rsidR="00A111F2" w:rsidRPr="00627DA0">
        <w:t>h</w:t>
      </w:r>
      <w:r w:rsidR="00BC3139" w:rsidRPr="00627DA0">
        <w:t>)</w:t>
      </w:r>
      <w:bookmarkEnd w:id="21"/>
    </w:p>
    <w:p w14:paraId="7EBB0681" w14:textId="34B749A3" w:rsidR="007F70B7" w:rsidRPr="00627DA0" w:rsidRDefault="003A2CAF" w:rsidP="00791F6F">
      <w:pPr>
        <w:jc w:val="center"/>
      </w:pPr>
      <w:r w:rsidRPr="00627DA0">
        <w:drawing>
          <wp:inline distT="0" distB="0" distL="0" distR="0" wp14:anchorId="7AE297C4" wp14:editId="7410C00F">
            <wp:extent cx="5948045" cy="2287710"/>
            <wp:effectExtent l="0" t="0" r="0" b="0"/>
            <wp:docPr id="1702435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3529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48045" cy="2287710"/>
                    </a:xfrm>
                    <a:prstGeom prst="rect">
                      <a:avLst/>
                    </a:prstGeom>
                    <a:noFill/>
                    <a:ln>
                      <a:noFill/>
                    </a:ln>
                  </pic:spPr>
                </pic:pic>
              </a:graphicData>
            </a:graphic>
          </wp:inline>
        </w:drawing>
      </w:r>
    </w:p>
    <w:p w14:paraId="4DA9E512" w14:textId="0BBFFE69" w:rsidR="00263801" w:rsidRPr="00627DA0" w:rsidRDefault="00B1765D" w:rsidP="008C4A03">
      <w:r w:rsidRPr="00627DA0">
        <w:fldChar w:fldCharType="begin"/>
      </w:r>
      <w:r w:rsidRPr="00627DA0">
        <w:instrText xml:space="preserve"> REF _Ref48550292 \h </w:instrText>
      </w:r>
      <w:r w:rsidRPr="00627DA0">
        <w:fldChar w:fldCharType="separate"/>
      </w:r>
      <w:r w:rsidR="00431297" w:rsidRPr="00627DA0">
        <w:t>Figure 4</w:t>
      </w:r>
      <w:r w:rsidRPr="00627DA0">
        <w:fldChar w:fldCharType="end"/>
      </w:r>
      <w:r w:rsidR="00AD14E8" w:rsidRPr="00627DA0">
        <w:t xml:space="preserve"> </w:t>
      </w:r>
      <w:r w:rsidR="008C4A03" w:rsidRPr="00627DA0">
        <w:t xml:space="preserve">shows how the </w:t>
      </w:r>
      <w:r w:rsidR="001A5C32" w:rsidRPr="00627DA0">
        <w:t xml:space="preserve">energy efficiency </w:t>
      </w:r>
      <w:r w:rsidR="008C4A03" w:rsidRPr="00627DA0">
        <w:t>potential grows on a cumulative basis</w:t>
      </w:r>
      <w:r w:rsidR="009A764A" w:rsidRPr="00627DA0">
        <w:t xml:space="preserve"> through the study period</w:t>
      </w:r>
      <w:r w:rsidR="009410F3" w:rsidRPr="00627DA0">
        <w:t xml:space="preserve">, totaling </w:t>
      </w:r>
      <w:r w:rsidR="00101F33" w:rsidRPr="00627DA0">
        <w:t>nearly</w:t>
      </w:r>
      <w:r w:rsidR="00282DA8" w:rsidRPr="00627DA0">
        <w:t xml:space="preserve"> </w:t>
      </w:r>
      <w:r w:rsidR="00823644" w:rsidRPr="00627DA0">
        <w:t>1</w:t>
      </w:r>
      <w:r w:rsidR="00FB0A5D" w:rsidRPr="00627DA0">
        <w:t>90</w:t>
      </w:r>
      <w:r w:rsidR="00823644" w:rsidRPr="00627DA0">
        <w:t>,</w:t>
      </w:r>
      <w:r w:rsidR="00D001F7" w:rsidRPr="00627DA0">
        <w:t>000</w:t>
      </w:r>
      <w:r w:rsidR="006E2697" w:rsidRPr="00627DA0">
        <w:t xml:space="preserve"> MW</w:t>
      </w:r>
      <w:r w:rsidR="00D001F7" w:rsidRPr="00627DA0">
        <w:t>h</w:t>
      </w:r>
      <w:r w:rsidR="006E2697" w:rsidRPr="00627DA0">
        <w:t xml:space="preserve"> over the 2</w:t>
      </w:r>
      <w:r w:rsidR="00282DA8" w:rsidRPr="00627DA0">
        <w:t>0</w:t>
      </w:r>
      <w:r w:rsidR="006E2697" w:rsidRPr="00627DA0">
        <w:t>-year planning period.</w:t>
      </w:r>
    </w:p>
    <w:p w14:paraId="2DAC0195" w14:textId="1A54A1AA" w:rsidR="000600E5" w:rsidRPr="00627DA0" w:rsidRDefault="00E11229" w:rsidP="006E2697">
      <w:pPr>
        <w:pStyle w:val="Caption"/>
        <w:spacing w:before="240" w:after="0"/>
      </w:pPr>
      <w:bookmarkStart w:id="22" w:name="_Ref48550292"/>
      <w:bookmarkStart w:id="23" w:name="_Toc207870703"/>
      <w:r w:rsidRPr="00627DA0">
        <w:t xml:space="preserve">Figure </w:t>
      </w:r>
      <w:fldSimple w:instr=" SEQ Figure \* ARABIC ">
        <w:r w:rsidR="00431297" w:rsidRPr="00627DA0">
          <w:t>4</w:t>
        </w:r>
      </w:fldSimple>
      <w:bookmarkEnd w:id="22"/>
      <w:r w:rsidR="00310EFB" w:rsidRPr="00627DA0">
        <w:t>:</w:t>
      </w:r>
      <w:r w:rsidRPr="00627DA0">
        <w:t xml:space="preserve"> </w:t>
      </w:r>
      <w:r w:rsidR="0046687C" w:rsidRPr="00627DA0">
        <w:t xml:space="preserve">Annual </w:t>
      </w:r>
      <w:r w:rsidRPr="00627DA0">
        <w:t xml:space="preserve">Cumulative </w:t>
      </w:r>
      <w:r w:rsidR="006332EF" w:rsidRPr="00627DA0">
        <w:t xml:space="preserve">Cost-Effective </w:t>
      </w:r>
      <w:r w:rsidRPr="00627DA0">
        <w:t>Energy Efficiency Potential</w:t>
      </w:r>
      <w:r w:rsidR="00BC3139" w:rsidRPr="00627DA0">
        <w:t xml:space="preserve"> (MW</w:t>
      </w:r>
      <w:r w:rsidR="00D001F7" w:rsidRPr="00627DA0">
        <w:t>h</w:t>
      </w:r>
      <w:r w:rsidR="00BC3139" w:rsidRPr="00627DA0">
        <w:t>)</w:t>
      </w:r>
      <w:bookmarkEnd w:id="23"/>
    </w:p>
    <w:p w14:paraId="1E9B15D5" w14:textId="57F60A0B" w:rsidR="00815DBD" w:rsidRPr="00627DA0" w:rsidRDefault="00CA50BB" w:rsidP="000600E5">
      <w:r w:rsidRPr="00627DA0">
        <w:drawing>
          <wp:inline distT="0" distB="0" distL="0" distR="0" wp14:anchorId="0E2832C7" wp14:editId="66FF87FC">
            <wp:extent cx="5943599" cy="2286000"/>
            <wp:effectExtent l="0" t="0" r="635" b="0"/>
            <wp:docPr id="1947378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8577"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43599" cy="2286000"/>
                    </a:xfrm>
                    <a:prstGeom prst="rect">
                      <a:avLst/>
                    </a:prstGeom>
                    <a:noFill/>
                    <a:ln>
                      <a:noFill/>
                    </a:ln>
                  </pic:spPr>
                </pic:pic>
              </a:graphicData>
            </a:graphic>
          </wp:inline>
        </w:drawing>
      </w:r>
    </w:p>
    <w:p w14:paraId="208846D4" w14:textId="41ED22C9" w:rsidR="00EE2A44" w:rsidRPr="00627DA0" w:rsidRDefault="00F838A6" w:rsidP="000600E5">
      <w:r w:rsidRPr="00627DA0">
        <w:lastRenderedPageBreak/>
        <w:t xml:space="preserve">The </w:t>
      </w:r>
      <w:r w:rsidR="00CF40AF" w:rsidRPr="00627DA0">
        <w:t xml:space="preserve">year-by-year </w:t>
      </w:r>
      <w:r w:rsidR="00BF1F13" w:rsidRPr="00627DA0">
        <w:t xml:space="preserve">estimates of </w:t>
      </w:r>
      <w:r w:rsidR="0041026C" w:rsidRPr="00627DA0">
        <w:t xml:space="preserve">energy efficiency </w:t>
      </w:r>
      <w:r w:rsidR="00BF1F13" w:rsidRPr="00627DA0">
        <w:t xml:space="preserve">potential </w:t>
      </w:r>
      <w:r w:rsidR="00035493" w:rsidRPr="00627DA0">
        <w:t xml:space="preserve">are based on ramp rates developed by the Council. </w:t>
      </w:r>
      <w:r w:rsidR="00717559" w:rsidRPr="00627DA0">
        <w:t xml:space="preserve">Ramp rates </w:t>
      </w:r>
      <w:r w:rsidR="00924CE4" w:rsidRPr="00627DA0">
        <w:t xml:space="preserve">identify the share of </w:t>
      </w:r>
      <w:r w:rsidR="002560D7" w:rsidRPr="00627DA0">
        <w:t xml:space="preserve">each measure’s </w:t>
      </w:r>
      <w:r w:rsidR="00924CE4" w:rsidRPr="00627DA0">
        <w:t xml:space="preserve">available potential </w:t>
      </w:r>
      <w:r w:rsidR="00212FAA" w:rsidRPr="00627DA0">
        <w:t>that is projected to</w:t>
      </w:r>
      <w:r w:rsidR="00924CE4" w:rsidRPr="00627DA0">
        <w:t xml:space="preserve"> be acquired in each year </w:t>
      </w:r>
      <w:r w:rsidR="00212FAA" w:rsidRPr="00627DA0">
        <w:t>based on</w:t>
      </w:r>
      <w:r w:rsidR="00AE50A6" w:rsidRPr="00627DA0">
        <w:t xml:space="preserve"> </w:t>
      </w:r>
      <w:r w:rsidR="00902450" w:rsidRPr="00627DA0">
        <w:t xml:space="preserve">its </w:t>
      </w:r>
      <w:r w:rsidR="00CF40AF" w:rsidRPr="00627DA0">
        <w:t>market and program maturity</w:t>
      </w:r>
      <w:r w:rsidR="00B92611" w:rsidRPr="00627DA0">
        <w:t xml:space="preserve">. For </w:t>
      </w:r>
      <w:r w:rsidR="003D24A3" w:rsidRPr="00627DA0">
        <w:t xml:space="preserve">each measure, </w:t>
      </w:r>
      <w:r w:rsidR="00C30A82" w:rsidRPr="00627DA0">
        <w:t>the project team</w:t>
      </w:r>
      <w:r w:rsidR="003D24A3" w:rsidRPr="00627DA0">
        <w:t xml:space="preserve"> applied a ramp rate that would align the near-term </w:t>
      </w:r>
      <w:r w:rsidR="005C4986" w:rsidRPr="00627DA0">
        <w:t xml:space="preserve">potential with </w:t>
      </w:r>
      <w:r w:rsidR="0032364D" w:rsidRPr="00627DA0">
        <w:t>Inland Power</w:t>
      </w:r>
      <w:r w:rsidR="00381FBE" w:rsidRPr="00627DA0">
        <w:t xml:space="preserve">’s </w:t>
      </w:r>
      <w:r w:rsidR="005C4986" w:rsidRPr="00627DA0">
        <w:t xml:space="preserve">recent program </w:t>
      </w:r>
      <w:r w:rsidR="00381FBE" w:rsidRPr="00627DA0">
        <w:t>achievements and the savings from NEEA’s market transformation initiatives</w:t>
      </w:r>
      <w:r w:rsidR="005E3A0C" w:rsidRPr="00627DA0">
        <w:t xml:space="preserve"> that were estimated to occur in </w:t>
      </w:r>
      <w:r w:rsidR="0032364D" w:rsidRPr="00627DA0">
        <w:t>Inland Power</w:t>
      </w:r>
      <w:r w:rsidR="005E3A0C" w:rsidRPr="00627DA0">
        <w:t>’s service territory</w:t>
      </w:r>
      <w:r w:rsidR="00DF172E" w:rsidRPr="00627DA0">
        <w:t>.</w:t>
      </w:r>
      <w:r w:rsidR="004F199A" w:rsidRPr="00627DA0">
        <w:t xml:space="preserve"> </w:t>
      </w:r>
      <w:r w:rsidR="002E3467" w:rsidRPr="00627DA0">
        <w:t>P</w:t>
      </w:r>
      <w:r w:rsidR="00D139EC" w:rsidRPr="00627DA0">
        <w:t>rogram achievement data w</w:t>
      </w:r>
      <w:r w:rsidR="002E3467" w:rsidRPr="00627DA0">
        <w:t>as</w:t>
      </w:r>
      <w:r w:rsidR="00D139EC" w:rsidRPr="00627DA0">
        <w:t xml:space="preserve"> provided by </w:t>
      </w:r>
      <w:r w:rsidR="0032364D" w:rsidRPr="00627DA0">
        <w:t>Inland Power</w:t>
      </w:r>
      <w:r w:rsidR="00D139EC" w:rsidRPr="00627DA0">
        <w:t xml:space="preserve"> staff and </w:t>
      </w:r>
      <w:r w:rsidR="00C30A82" w:rsidRPr="00627DA0">
        <w:t>the project team</w:t>
      </w:r>
      <w:r w:rsidR="00D139EC" w:rsidRPr="00627DA0">
        <w:t xml:space="preserve"> assigned appropriate ramp rates </w:t>
      </w:r>
      <w:r w:rsidR="002B4D93" w:rsidRPr="00627DA0">
        <w:t>to</w:t>
      </w:r>
      <w:r w:rsidR="00D139EC" w:rsidRPr="00627DA0">
        <w:t xml:space="preserve"> each measure so that the future acquisition of energy efficiency was aligned with recent program history while </w:t>
      </w:r>
      <w:r w:rsidR="002D29F1" w:rsidRPr="00627DA0">
        <w:t>ensur</w:t>
      </w:r>
      <w:r w:rsidR="00D139EC" w:rsidRPr="00627DA0">
        <w:t>ing the acquisition of all energy efficiency potential over the 20-year planning period.</w:t>
      </w:r>
    </w:p>
    <w:p w14:paraId="645D4266" w14:textId="77777777" w:rsidR="00AC2CC8" w:rsidRPr="00627DA0" w:rsidRDefault="00F83A5F" w:rsidP="00F83A5F">
      <w:pPr>
        <w:pStyle w:val="Heading2"/>
      </w:pPr>
      <w:bookmarkStart w:id="24" w:name="_Toc207870652"/>
      <w:r w:rsidRPr="00627DA0">
        <w:t>Comparison to Previous Assessment</w:t>
      </w:r>
      <w:bookmarkEnd w:id="24"/>
    </w:p>
    <w:p w14:paraId="79E9F194" w14:textId="588AB402" w:rsidR="0067347F" w:rsidRPr="00627DA0" w:rsidRDefault="00B1765D" w:rsidP="00AC2CC8">
      <w:r w:rsidRPr="00627DA0">
        <w:fldChar w:fldCharType="begin"/>
      </w:r>
      <w:r w:rsidRPr="00627DA0">
        <w:instrText xml:space="preserve"> REF _Ref48552302 \h </w:instrText>
      </w:r>
      <w:r w:rsidRPr="00627DA0">
        <w:fldChar w:fldCharType="separate"/>
      </w:r>
      <w:r w:rsidR="00431297" w:rsidRPr="00627DA0">
        <w:t>Table 3</w:t>
      </w:r>
      <w:r w:rsidRPr="00627DA0">
        <w:fldChar w:fldCharType="end"/>
      </w:r>
      <w:r w:rsidR="00FD632F" w:rsidRPr="00627DA0">
        <w:t xml:space="preserve"> </w:t>
      </w:r>
      <w:r w:rsidR="00D82A76" w:rsidRPr="00627DA0">
        <w:t>shows a comparison of the</w:t>
      </w:r>
      <w:r w:rsidR="008E6464" w:rsidRPr="00627DA0">
        <w:t xml:space="preserve"> </w:t>
      </w:r>
      <w:r w:rsidR="000B0DCB" w:rsidRPr="00627DA0">
        <w:t>2</w:t>
      </w:r>
      <w:r w:rsidR="008E6464" w:rsidRPr="00627DA0">
        <w:t>-,</w:t>
      </w:r>
      <w:r w:rsidR="00D82A76" w:rsidRPr="00627DA0">
        <w:t xml:space="preserve"> 10-</w:t>
      </w:r>
      <w:r w:rsidR="008E6464" w:rsidRPr="00627DA0">
        <w:t>,</w:t>
      </w:r>
      <w:r w:rsidR="00D82A76" w:rsidRPr="00627DA0">
        <w:t xml:space="preserve"> and 20-year </w:t>
      </w:r>
      <w:r w:rsidR="00094532" w:rsidRPr="00627DA0">
        <w:t>cost-effective</w:t>
      </w:r>
      <w:r w:rsidR="00F07AB9" w:rsidRPr="00627DA0">
        <w:t xml:space="preserve"> </w:t>
      </w:r>
      <w:r w:rsidR="00D82A76" w:rsidRPr="00627DA0">
        <w:t xml:space="preserve">potential </w:t>
      </w:r>
      <w:r w:rsidR="00230F4F" w:rsidRPr="00627DA0">
        <w:t xml:space="preserve">by sector as quantified by the </w:t>
      </w:r>
      <w:r w:rsidR="00DA5452" w:rsidRPr="00627DA0">
        <w:t xml:space="preserve">previous </w:t>
      </w:r>
      <w:r w:rsidR="00230F4F" w:rsidRPr="00627DA0">
        <w:t>20</w:t>
      </w:r>
      <w:r w:rsidR="00590251" w:rsidRPr="00627DA0">
        <w:t>2</w:t>
      </w:r>
      <w:r w:rsidR="003D5903" w:rsidRPr="00627DA0">
        <w:t>3</w:t>
      </w:r>
      <w:r w:rsidR="00230F4F" w:rsidRPr="00627DA0">
        <w:t xml:space="preserve"> </w:t>
      </w:r>
      <w:r w:rsidR="00DA5452" w:rsidRPr="00627DA0">
        <w:t xml:space="preserve">CPA </w:t>
      </w:r>
      <w:r w:rsidR="00230F4F" w:rsidRPr="00627DA0">
        <w:t xml:space="preserve">and </w:t>
      </w:r>
      <w:r w:rsidR="00DA5452" w:rsidRPr="00627DA0">
        <w:t xml:space="preserve">this </w:t>
      </w:r>
      <w:r w:rsidR="00230F4F" w:rsidRPr="00627DA0">
        <w:t>202</w:t>
      </w:r>
      <w:r w:rsidR="003D5903" w:rsidRPr="00627DA0">
        <w:t>5</w:t>
      </w:r>
      <w:r w:rsidR="00230F4F" w:rsidRPr="00627DA0">
        <w:t xml:space="preserve"> CPA. </w:t>
      </w:r>
      <w:r w:rsidR="007B4537" w:rsidRPr="00627DA0">
        <w:t>T</w:t>
      </w:r>
      <w:r w:rsidR="00076C31" w:rsidRPr="00627DA0">
        <w:t>he</w:t>
      </w:r>
      <w:r w:rsidR="008444D3" w:rsidRPr="00627DA0">
        <w:t xml:space="preserve"> </w:t>
      </w:r>
      <w:r w:rsidR="00312CA8" w:rsidRPr="00627DA0">
        <w:t>near-term</w:t>
      </w:r>
      <w:r w:rsidR="008444D3" w:rsidRPr="00627DA0">
        <w:t xml:space="preserve"> potential </w:t>
      </w:r>
      <w:r w:rsidR="008C4FD8" w:rsidRPr="00627DA0">
        <w:t xml:space="preserve">declined </w:t>
      </w:r>
      <w:r w:rsidR="0076579E" w:rsidRPr="00627DA0">
        <w:t>significantly</w:t>
      </w:r>
      <w:r w:rsidR="008C4FD8" w:rsidRPr="00627DA0">
        <w:t xml:space="preserve"> while there were </w:t>
      </w:r>
      <w:r w:rsidR="00312CA8" w:rsidRPr="00627DA0">
        <w:t>smaller</w:t>
      </w:r>
      <w:r w:rsidR="00AA7088" w:rsidRPr="00627DA0">
        <w:t xml:space="preserve"> de</w:t>
      </w:r>
      <w:r w:rsidR="008C4FD8" w:rsidRPr="00627DA0">
        <w:t xml:space="preserve">creases in the </w:t>
      </w:r>
      <w:r w:rsidR="00312CA8" w:rsidRPr="00627DA0">
        <w:t>long-term</w:t>
      </w:r>
      <w:r w:rsidR="00215711" w:rsidRPr="00627DA0">
        <w:t xml:space="preserve"> </w:t>
      </w:r>
      <w:r w:rsidR="008C4FD8" w:rsidRPr="00627DA0">
        <w:t>potential.</w:t>
      </w:r>
    </w:p>
    <w:p w14:paraId="419B8DEE" w14:textId="46405253" w:rsidR="009C71CD" w:rsidRPr="00627DA0" w:rsidRDefault="0067347F" w:rsidP="001E38F3">
      <w:pPr>
        <w:pStyle w:val="Caption"/>
      </w:pPr>
      <w:bookmarkStart w:id="25" w:name="_Ref48552302"/>
      <w:bookmarkStart w:id="26" w:name="_Toc207870732"/>
      <w:r w:rsidRPr="00627DA0">
        <w:t xml:space="preserve">Table </w:t>
      </w:r>
      <w:fldSimple w:instr=" SEQ Table \* ARABIC ">
        <w:r w:rsidR="00431297" w:rsidRPr="00627DA0">
          <w:t>3</w:t>
        </w:r>
      </w:fldSimple>
      <w:bookmarkEnd w:id="25"/>
      <w:r w:rsidRPr="00627DA0">
        <w:t xml:space="preserve">: Comparison of </w:t>
      </w:r>
      <w:r w:rsidR="00E759AB" w:rsidRPr="00627DA0">
        <w:t>2023 and 2025</w:t>
      </w:r>
      <w:r w:rsidRPr="00627DA0">
        <w:t xml:space="preserve"> CPA </w:t>
      </w:r>
      <w:r w:rsidR="00892973" w:rsidRPr="00627DA0">
        <w:t>Results</w:t>
      </w:r>
      <w:r w:rsidR="00A06EAC" w:rsidRPr="00627DA0">
        <w:t xml:space="preserve"> (</w:t>
      </w:r>
      <w:r w:rsidR="00E759AB" w:rsidRPr="00627DA0">
        <w:t>MW</w:t>
      </w:r>
      <w:r w:rsidR="004F5E3E" w:rsidRPr="00627DA0">
        <w:t>h</w:t>
      </w:r>
      <w:r w:rsidR="00A06EAC" w:rsidRPr="00627DA0">
        <w:t>)</w:t>
      </w:r>
      <w:bookmarkEnd w:id="26"/>
    </w:p>
    <w:tbl>
      <w:tblPr>
        <w:tblW w:w="5000" w:type="pct"/>
        <w:tblLayout w:type="fixed"/>
        <w:tblLook w:val="04A0" w:firstRow="1" w:lastRow="0" w:firstColumn="1" w:lastColumn="0" w:noHBand="0" w:noVBand="1"/>
      </w:tblPr>
      <w:tblGrid>
        <w:gridCol w:w="1353"/>
        <w:gridCol w:w="900"/>
        <w:gridCol w:w="900"/>
        <w:gridCol w:w="900"/>
        <w:gridCol w:w="900"/>
        <w:gridCol w:w="811"/>
        <w:gridCol w:w="902"/>
        <w:gridCol w:w="900"/>
        <w:gridCol w:w="854"/>
        <w:gridCol w:w="940"/>
      </w:tblGrid>
      <w:tr w:rsidR="000D647A" w:rsidRPr="00627DA0" w14:paraId="0C98E263" w14:textId="77777777" w:rsidTr="0007686D">
        <w:trPr>
          <w:trHeight w:val="315"/>
        </w:trPr>
        <w:tc>
          <w:tcPr>
            <w:tcW w:w="722" w:type="pct"/>
            <w:tcBorders>
              <w:top w:val="single" w:sz="12" w:space="0" w:color="auto"/>
              <w:left w:val="nil"/>
              <w:bottom w:val="nil"/>
              <w:right w:val="nil"/>
            </w:tcBorders>
            <w:shd w:val="clear" w:color="000000" w:fill="00205C"/>
            <w:noWrap/>
            <w:vAlign w:val="center"/>
            <w:hideMark/>
          </w:tcPr>
          <w:p w14:paraId="6D3AE4F5" w14:textId="77777777" w:rsidR="000D647A" w:rsidRPr="00627DA0" w:rsidRDefault="000D647A" w:rsidP="000D647A">
            <w:pPr>
              <w:spacing w:after="0" w:line="240" w:lineRule="auto"/>
              <w:jc w:val="center"/>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 </w:t>
            </w:r>
          </w:p>
        </w:tc>
        <w:tc>
          <w:tcPr>
            <w:tcW w:w="1442" w:type="pct"/>
            <w:gridSpan w:val="3"/>
            <w:tcBorders>
              <w:top w:val="single" w:sz="12" w:space="0" w:color="auto"/>
              <w:left w:val="nil"/>
              <w:bottom w:val="nil"/>
              <w:right w:val="nil"/>
            </w:tcBorders>
            <w:shd w:val="clear" w:color="000000" w:fill="00205C"/>
            <w:noWrap/>
            <w:vAlign w:val="center"/>
            <w:hideMark/>
          </w:tcPr>
          <w:p w14:paraId="076E74A8" w14:textId="77777777" w:rsidR="000D647A" w:rsidRPr="00627DA0" w:rsidRDefault="000D647A" w:rsidP="000D647A">
            <w:pPr>
              <w:spacing w:after="0" w:line="240" w:lineRule="auto"/>
              <w:jc w:val="center"/>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2-Year Potential</w:t>
            </w:r>
          </w:p>
        </w:tc>
        <w:tc>
          <w:tcPr>
            <w:tcW w:w="1396" w:type="pct"/>
            <w:gridSpan w:val="3"/>
            <w:tcBorders>
              <w:top w:val="single" w:sz="12" w:space="0" w:color="auto"/>
              <w:left w:val="single" w:sz="12" w:space="0" w:color="auto"/>
              <w:bottom w:val="nil"/>
              <w:right w:val="single" w:sz="12" w:space="0" w:color="000000"/>
            </w:tcBorders>
            <w:shd w:val="clear" w:color="000000" w:fill="00205C"/>
            <w:noWrap/>
            <w:vAlign w:val="center"/>
            <w:hideMark/>
          </w:tcPr>
          <w:p w14:paraId="337E0901" w14:textId="77777777" w:rsidR="000D647A" w:rsidRPr="00627DA0" w:rsidRDefault="000D647A" w:rsidP="000D647A">
            <w:pPr>
              <w:spacing w:after="0" w:line="240" w:lineRule="auto"/>
              <w:jc w:val="center"/>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10-Year Potential</w:t>
            </w:r>
          </w:p>
        </w:tc>
        <w:tc>
          <w:tcPr>
            <w:tcW w:w="1440" w:type="pct"/>
            <w:gridSpan w:val="3"/>
            <w:tcBorders>
              <w:top w:val="single" w:sz="12" w:space="0" w:color="auto"/>
              <w:left w:val="nil"/>
              <w:bottom w:val="nil"/>
              <w:right w:val="nil"/>
            </w:tcBorders>
            <w:shd w:val="clear" w:color="000000" w:fill="00205C"/>
            <w:noWrap/>
            <w:vAlign w:val="center"/>
            <w:hideMark/>
          </w:tcPr>
          <w:p w14:paraId="052C3925" w14:textId="77777777" w:rsidR="000D647A" w:rsidRPr="00627DA0" w:rsidRDefault="000D647A" w:rsidP="000D647A">
            <w:pPr>
              <w:spacing w:after="0" w:line="240" w:lineRule="auto"/>
              <w:jc w:val="center"/>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20-Year Potential</w:t>
            </w:r>
          </w:p>
        </w:tc>
      </w:tr>
      <w:tr w:rsidR="00DA3F35" w:rsidRPr="00627DA0" w14:paraId="0B761AAA" w14:textId="77777777" w:rsidTr="0007686D">
        <w:trPr>
          <w:trHeight w:val="315"/>
        </w:trPr>
        <w:tc>
          <w:tcPr>
            <w:tcW w:w="722" w:type="pct"/>
            <w:tcBorders>
              <w:top w:val="nil"/>
              <w:left w:val="nil"/>
              <w:bottom w:val="single" w:sz="12" w:space="0" w:color="auto"/>
              <w:right w:val="nil"/>
            </w:tcBorders>
            <w:shd w:val="clear" w:color="000000" w:fill="00205C"/>
            <w:noWrap/>
            <w:vAlign w:val="center"/>
            <w:hideMark/>
          </w:tcPr>
          <w:p w14:paraId="6031AE4E" w14:textId="77777777" w:rsidR="000D647A" w:rsidRPr="00627DA0" w:rsidRDefault="000D647A" w:rsidP="000D647A">
            <w:pPr>
              <w:spacing w:after="0" w:line="240" w:lineRule="auto"/>
              <w:jc w:val="lef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Sector</w:t>
            </w:r>
          </w:p>
        </w:tc>
        <w:tc>
          <w:tcPr>
            <w:tcW w:w="481" w:type="pct"/>
            <w:tcBorders>
              <w:top w:val="nil"/>
              <w:left w:val="nil"/>
              <w:bottom w:val="single" w:sz="12" w:space="0" w:color="auto"/>
              <w:right w:val="nil"/>
            </w:tcBorders>
            <w:shd w:val="clear" w:color="000000" w:fill="00205C"/>
            <w:noWrap/>
            <w:vAlign w:val="center"/>
            <w:hideMark/>
          </w:tcPr>
          <w:p w14:paraId="6CF8C4F8"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2023 CPA</w:t>
            </w:r>
          </w:p>
        </w:tc>
        <w:tc>
          <w:tcPr>
            <w:tcW w:w="481" w:type="pct"/>
            <w:tcBorders>
              <w:top w:val="nil"/>
              <w:left w:val="nil"/>
              <w:bottom w:val="single" w:sz="12" w:space="0" w:color="auto"/>
              <w:right w:val="nil"/>
            </w:tcBorders>
            <w:shd w:val="clear" w:color="000000" w:fill="00205C"/>
            <w:noWrap/>
            <w:vAlign w:val="center"/>
            <w:hideMark/>
          </w:tcPr>
          <w:p w14:paraId="1EA947BF"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2025 CPA</w:t>
            </w:r>
          </w:p>
        </w:tc>
        <w:tc>
          <w:tcPr>
            <w:tcW w:w="481" w:type="pct"/>
            <w:tcBorders>
              <w:top w:val="nil"/>
              <w:left w:val="nil"/>
              <w:bottom w:val="single" w:sz="12" w:space="0" w:color="auto"/>
              <w:right w:val="single" w:sz="12" w:space="0" w:color="auto"/>
            </w:tcBorders>
            <w:shd w:val="clear" w:color="000000" w:fill="00205C"/>
            <w:noWrap/>
            <w:vAlign w:val="center"/>
            <w:hideMark/>
          </w:tcPr>
          <w:p w14:paraId="5F32225B"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 Change</w:t>
            </w:r>
          </w:p>
        </w:tc>
        <w:tc>
          <w:tcPr>
            <w:tcW w:w="481" w:type="pct"/>
            <w:tcBorders>
              <w:top w:val="nil"/>
              <w:left w:val="nil"/>
              <w:bottom w:val="single" w:sz="12" w:space="0" w:color="auto"/>
              <w:right w:val="nil"/>
            </w:tcBorders>
            <w:shd w:val="clear" w:color="000000" w:fill="00205C"/>
            <w:noWrap/>
            <w:vAlign w:val="center"/>
            <w:hideMark/>
          </w:tcPr>
          <w:p w14:paraId="215CF133"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2023 CPA</w:t>
            </w:r>
          </w:p>
        </w:tc>
        <w:tc>
          <w:tcPr>
            <w:tcW w:w="433" w:type="pct"/>
            <w:tcBorders>
              <w:top w:val="nil"/>
              <w:left w:val="nil"/>
              <w:bottom w:val="single" w:sz="12" w:space="0" w:color="auto"/>
              <w:right w:val="nil"/>
            </w:tcBorders>
            <w:shd w:val="clear" w:color="000000" w:fill="00205C"/>
            <w:noWrap/>
            <w:vAlign w:val="center"/>
            <w:hideMark/>
          </w:tcPr>
          <w:p w14:paraId="059DF9D6"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2025 CPA</w:t>
            </w:r>
          </w:p>
        </w:tc>
        <w:tc>
          <w:tcPr>
            <w:tcW w:w="482" w:type="pct"/>
            <w:tcBorders>
              <w:top w:val="nil"/>
              <w:left w:val="nil"/>
              <w:bottom w:val="single" w:sz="12" w:space="0" w:color="auto"/>
              <w:right w:val="single" w:sz="12" w:space="0" w:color="auto"/>
            </w:tcBorders>
            <w:shd w:val="clear" w:color="000000" w:fill="00205C"/>
            <w:noWrap/>
            <w:vAlign w:val="center"/>
            <w:hideMark/>
          </w:tcPr>
          <w:p w14:paraId="18864516"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 Change</w:t>
            </w:r>
          </w:p>
        </w:tc>
        <w:tc>
          <w:tcPr>
            <w:tcW w:w="481" w:type="pct"/>
            <w:tcBorders>
              <w:top w:val="nil"/>
              <w:left w:val="nil"/>
              <w:bottom w:val="single" w:sz="12" w:space="0" w:color="auto"/>
              <w:right w:val="nil"/>
            </w:tcBorders>
            <w:shd w:val="clear" w:color="000000" w:fill="00205C"/>
            <w:noWrap/>
            <w:vAlign w:val="center"/>
            <w:hideMark/>
          </w:tcPr>
          <w:p w14:paraId="72151543"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2023 CPA</w:t>
            </w:r>
          </w:p>
        </w:tc>
        <w:tc>
          <w:tcPr>
            <w:tcW w:w="456" w:type="pct"/>
            <w:tcBorders>
              <w:top w:val="nil"/>
              <w:left w:val="nil"/>
              <w:bottom w:val="single" w:sz="12" w:space="0" w:color="auto"/>
              <w:right w:val="nil"/>
            </w:tcBorders>
            <w:shd w:val="clear" w:color="000000" w:fill="00205C"/>
            <w:noWrap/>
            <w:vAlign w:val="center"/>
            <w:hideMark/>
          </w:tcPr>
          <w:p w14:paraId="2DDD94FD"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2025 CPA</w:t>
            </w:r>
          </w:p>
        </w:tc>
        <w:tc>
          <w:tcPr>
            <w:tcW w:w="503" w:type="pct"/>
            <w:tcBorders>
              <w:top w:val="nil"/>
              <w:left w:val="nil"/>
              <w:bottom w:val="single" w:sz="12" w:space="0" w:color="auto"/>
              <w:right w:val="nil"/>
            </w:tcBorders>
            <w:shd w:val="clear" w:color="000000" w:fill="00205C"/>
            <w:noWrap/>
            <w:vAlign w:val="center"/>
            <w:hideMark/>
          </w:tcPr>
          <w:p w14:paraId="28A98C3F" w14:textId="77777777" w:rsidR="000D647A" w:rsidRPr="00627DA0" w:rsidRDefault="000D647A" w:rsidP="000D647A">
            <w:pPr>
              <w:spacing w:after="0" w:line="240" w:lineRule="auto"/>
              <w:jc w:val="right"/>
              <w:rPr>
                <w:rFonts w:asciiTheme="minorHAnsi" w:eastAsia="Times New Roman" w:hAnsiTheme="minorHAnsi" w:cs="Calibri"/>
                <w:b/>
                <w:bCs/>
                <w:color w:val="FFFFFF"/>
                <w:sz w:val="18"/>
                <w:szCs w:val="18"/>
              </w:rPr>
            </w:pPr>
            <w:r w:rsidRPr="00627DA0">
              <w:rPr>
                <w:rFonts w:asciiTheme="minorHAnsi" w:eastAsia="Times New Roman" w:hAnsiTheme="minorHAnsi" w:cs="Calibri"/>
                <w:b/>
                <w:bCs/>
                <w:color w:val="FFFFFF"/>
                <w:sz w:val="18"/>
                <w:szCs w:val="18"/>
              </w:rPr>
              <w:t>% Change</w:t>
            </w:r>
          </w:p>
        </w:tc>
      </w:tr>
      <w:tr w:rsidR="0007686D" w:rsidRPr="00627DA0" w14:paraId="6A8DF95E" w14:textId="77777777" w:rsidTr="0007686D">
        <w:trPr>
          <w:trHeight w:val="315"/>
        </w:trPr>
        <w:tc>
          <w:tcPr>
            <w:tcW w:w="722" w:type="pct"/>
            <w:tcBorders>
              <w:top w:val="nil"/>
              <w:left w:val="nil"/>
              <w:bottom w:val="nil"/>
              <w:right w:val="nil"/>
            </w:tcBorders>
            <w:shd w:val="clear" w:color="000000" w:fill="F2F2F2"/>
            <w:noWrap/>
            <w:vAlign w:val="center"/>
            <w:hideMark/>
          </w:tcPr>
          <w:p w14:paraId="4CE9B410" w14:textId="77777777" w:rsidR="0007686D" w:rsidRPr="00627DA0" w:rsidRDefault="0007686D" w:rsidP="0007686D">
            <w:pPr>
              <w:spacing w:after="0" w:line="240" w:lineRule="auto"/>
              <w:jc w:val="left"/>
              <w:rPr>
                <w:rFonts w:asciiTheme="minorHAnsi" w:eastAsia="Times New Roman" w:hAnsiTheme="minorHAnsi" w:cs="Calibri"/>
                <w:color w:val="000000"/>
                <w:sz w:val="18"/>
                <w:szCs w:val="18"/>
              </w:rPr>
            </w:pPr>
            <w:r w:rsidRPr="00627DA0">
              <w:rPr>
                <w:rFonts w:asciiTheme="minorHAnsi" w:eastAsia="Times New Roman" w:hAnsiTheme="minorHAnsi" w:cs="Calibri"/>
                <w:color w:val="000000"/>
                <w:sz w:val="18"/>
                <w:szCs w:val="18"/>
              </w:rPr>
              <w:t>Residential</w:t>
            </w:r>
          </w:p>
        </w:tc>
        <w:tc>
          <w:tcPr>
            <w:tcW w:w="481" w:type="pct"/>
            <w:tcBorders>
              <w:top w:val="nil"/>
              <w:left w:val="nil"/>
              <w:bottom w:val="nil"/>
              <w:right w:val="nil"/>
            </w:tcBorders>
            <w:shd w:val="clear" w:color="000000" w:fill="F2F2F2"/>
            <w:noWrap/>
            <w:vAlign w:val="center"/>
            <w:hideMark/>
          </w:tcPr>
          <w:p w14:paraId="3CADAE84" w14:textId="4415A8E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3,112</w:t>
            </w:r>
          </w:p>
        </w:tc>
        <w:tc>
          <w:tcPr>
            <w:tcW w:w="481" w:type="pct"/>
            <w:tcBorders>
              <w:top w:val="nil"/>
              <w:left w:val="nil"/>
              <w:bottom w:val="nil"/>
              <w:right w:val="nil"/>
            </w:tcBorders>
            <w:shd w:val="clear" w:color="000000" w:fill="F2F2F2"/>
            <w:noWrap/>
            <w:vAlign w:val="center"/>
            <w:hideMark/>
          </w:tcPr>
          <w:p w14:paraId="6E0CDC96" w14:textId="50D32A61"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1,779</w:t>
            </w:r>
          </w:p>
        </w:tc>
        <w:tc>
          <w:tcPr>
            <w:tcW w:w="481" w:type="pct"/>
            <w:tcBorders>
              <w:top w:val="nil"/>
              <w:left w:val="nil"/>
              <w:bottom w:val="nil"/>
              <w:right w:val="single" w:sz="12" w:space="0" w:color="auto"/>
            </w:tcBorders>
            <w:shd w:val="clear" w:color="000000" w:fill="F2F2F2"/>
            <w:noWrap/>
            <w:vAlign w:val="center"/>
            <w:hideMark/>
          </w:tcPr>
          <w:p w14:paraId="7E775023" w14:textId="1E359EE1"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-43%</w:t>
            </w:r>
          </w:p>
        </w:tc>
        <w:tc>
          <w:tcPr>
            <w:tcW w:w="481" w:type="pct"/>
            <w:tcBorders>
              <w:top w:val="nil"/>
              <w:left w:val="nil"/>
              <w:bottom w:val="nil"/>
              <w:right w:val="nil"/>
            </w:tcBorders>
            <w:shd w:val="clear" w:color="000000" w:fill="F2F2F2"/>
            <w:noWrap/>
            <w:vAlign w:val="center"/>
            <w:hideMark/>
          </w:tcPr>
          <w:p w14:paraId="424A536A" w14:textId="3A627552"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47,552</w:t>
            </w:r>
          </w:p>
        </w:tc>
        <w:tc>
          <w:tcPr>
            <w:tcW w:w="433" w:type="pct"/>
            <w:tcBorders>
              <w:top w:val="nil"/>
              <w:left w:val="nil"/>
              <w:bottom w:val="nil"/>
              <w:right w:val="nil"/>
            </w:tcBorders>
            <w:shd w:val="clear" w:color="000000" w:fill="F2F2F2"/>
            <w:noWrap/>
            <w:vAlign w:val="center"/>
            <w:hideMark/>
          </w:tcPr>
          <w:p w14:paraId="386ED75C" w14:textId="00BD2AF3"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34,462</w:t>
            </w:r>
          </w:p>
        </w:tc>
        <w:tc>
          <w:tcPr>
            <w:tcW w:w="482" w:type="pct"/>
            <w:tcBorders>
              <w:top w:val="nil"/>
              <w:left w:val="nil"/>
              <w:bottom w:val="nil"/>
              <w:right w:val="single" w:sz="12" w:space="0" w:color="auto"/>
            </w:tcBorders>
            <w:shd w:val="clear" w:color="000000" w:fill="F2F2F2"/>
            <w:noWrap/>
            <w:vAlign w:val="center"/>
            <w:hideMark/>
          </w:tcPr>
          <w:p w14:paraId="0F48B3B3" w14:textId="5C665A11"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-28%</w:t>
            </w:r>
          </w:p>
        </w:tc>
        <w:tc>
          <w:tcPr>
            <w:tcW w:w="481" w:type="pct"/>
            <w:tcBorders>
              <w:top w:val="nil"/>
              <w:left w:val="nil"/>
              <w:bottom w:val="nil"/>
              <w:right w:val="nil"/>
            </w:tcBorders>
            <w:shd w:val="clear" w:color="000000" w:fill="F2F2F2"/>
            <w:noWrap/>
            <w:vAlign w:val="center"/>
            <w:hideMark/>
          </w:tcPr>
          <w:p w14:paraId="7322943E" w14:textId="58A3831D"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118,483</w:t>
            </w:r>
          </w:p>
        </w:tc>
        <w:tc>
          <w:tcPr>
            <w:tcW w:w="456" w:type="pct"/>
            <w:tcBorders>
              <w:top w:val="nil"/>
              <w:left w:val="nil"/>
              <w:bottom w:val="nil"/>
              <w:right w:val="nil"/>
            </w:tcBorders>
            <w:shd w:val="clear" w:color="000000" w:fill="F2F2F2"/>
            <w:noWrap/>
            <w:vAlign w:val="center"/>
            <w:hideMark/>
          </w:tcPr>
          <w:p w14:paraId="109E13E6" w14:textId="0C26EACF"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109,057</w:t>
            </w:r>
          </w:p>
        </w:tc>
        <w:tc>
          <w:tcPr>
            <w:tcW w:w="503" w:type="pct"/>
            <w:tcBorders>
              <w:top w:val="nil"/>
              <w:left w:val="nil"/>
              <w:bottom w:val="nil"/>
              <w:right w:val="nil"/>
            </w:tcBorders>
            <w:shd w:val="clear" w:color="000000" w:fill="F2F2F2"/>
            <w:noWrap/>
            <w:vAlign w:val="center"/>
            <w:hideMark/>
          </w:tcPr>
          <w:p w14:paraId="1B6E1E52" w14:textId="4475CA4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-8%</w:t>
            </w:r>
          </w:p>
        </w:tc>
      </w:tr>
      <w:tr w:rsidR="0007686D" w:rsidRPr="00627DA0" w14:paraId="3392FCB8" w14:textId="77777777" w:rsidTr="0007686D">
        <w:trPr>
          <w:trHeight w:val="300"/>
        </w:trPr>
        <w:tc>
          <w:tcPr>
            <w:tcW w:w="722" w:type="pct"/>
            <w:tcBorders>
              <w:top w:val="nil"/>
              <w:left w:val="nil"/>
              <w:bottom w:val="nil"/>
              <w:right w:val="nil"/>
            </w:tcBorders>
            <w:shd w:val="clear" w:color="000000" w:fill="FFFFFF"/>
            <w:noWrap/>
            <w:vAlign w:val="center"/>
            <w:hideMark/>
          </w:tcPr>
          <w:p w14:paraId="63A47339" w14:textId="77777777" w:rsidR="0007686D" w:rsidRPr="00627DA0" w:rsidRDefault="0007686D" w:rsidP="0007686D">
            <w:pPr>
              <w:spacing w:after="0" w:line="240" w:lineRule="auto"/>
              <w:jc w:val="left"/>
              <w:rPr>
                <w:rFonts w:asciiTheme="minorHAnsi" w:eastAsia="Times New Roman" w:hAnsiTheme="minorHAnsi" w:cs="Calibri"/>
                <w:color w:val="000000"/>
                <w:sz w:val="18"/>
                <w:szCs w:val="18"/>
              </w:rPr>
            </w:pPr>
            <w:r w:rsidRPr="00627DA0">
              <w:rPr>
                <w:rFonts w:asciiTheme="minorHAnsi" w:eastAsia="Times New Roman" w:hAnsiTheme="minorHAnsi" w:cs="Calibri"/>
                <w:color w:val="000000"/>
                <w:sz w:val="18"/>
                <w:szCs w:val="18"/>
              </w:rPr>
              <w:t>Commercial</w:t>
            </w:r>
          </w:p>
        </w:tc>
        <w:tc>
          <w:tcPr>
            <w:tcW w:w="481" w:type="pct"/>
            <w:tcBorders>
              <w:top w:val="nil"/>
              <w:left w:val="nil"/>
              <w:bottom w:val="nil"/>
              <w:right w:val="nil"/>
            </w:tcBorders>
            <w:noWrap/>
            <w:vAlign w:val="center"/>
            <w:hideMark/>
          </w:tcPr>
          <w:p w14:paraId="36E53703" w14:textId="512CE19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1,201</w:t>
            </w:r>
          </w:p>
        </w:tc>
        <w:tc>
          <w:tcPr>
            <w:tcW w:w="481" w:type="pct"/>
            <w:tcBorders>
              <w:top w:val="nil"/>
              <w:left w:val="nil"/>
              <w:bottom w:val="nil"/>
              <w:right w:val="nil"/>
            </w:tcBorders>
            <w:noWrap/>
            <w:vAlign w:val="center"/>
            <w:hideMark/>
          </w:tcPr>
          <w:p w14:paraId="127C37BF" w14:textId="7977AE3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719</w:t>
            </w:r>
          </w:p>
        </w:tc>
        <w:tc>
          <w:tcPr>
            <w:tcW w:w="481" w:type="pct"/>
            <w:tcBorders>
              <w:top w:val="nil"/>
              <w:left w:val="nil"/>
              <w:bottom w:val="nil"/>
              <w:right w:val="single" w:sz="12" w:space="0" w:color="auto"/>
            </w:tcBorders>
            <w:shd w:val="clear" w:color="000000" w:fill="FFFFFF"/>
            <w:noWrap/>
            <w:vAlign w:val="center"/>
            <w:hideMark/>
          </w:tcPr>
          <w:p w14:paraId="42736311" w14:textId="5B45AF2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-40%</w:t>
            </w:r>
          </w:p>
        </w:tc>
        <w:tc>
          <w:tcPr>
            <w:tcW w:w="481" w:type="pct"/>
            <w:tcBorders>
              <w:top w:val="nil"/>
              <w:left w:val="nil"/>
              <w:bottom w:val="nil"/>
              <w:right w:val="nil"/>
            </w:tcBorders>
            <w:noWrap/>
            <w:vAlign w:val="center"/>
            <w:hideMark/>
          </w:tcPr>
          <w:p w14:paraId="5FAC645B" w14:textId="1E3D5398"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22,070</w:t>
            </w:r>
          </w:p>
        </w:tc>
        <w:tc>
          <w:tcPr>
            <w:tcW w:w="433" w:type="pct"/>
            <w:tcBorders>
              <w:top w:val="nil"/>
              <w:left w:val="nil"/>
              <w:bottom w:val="nil"/>
              <w:right w:val="nil"/>
            </w:tcBorders>
            <w:noWrap/>
            <w:vAlign w:val="center"/>
            <w:hideMark/>
          </w:tcPr>
          <w:p w14:paraId="7392E773" w14:textId="2C210083"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15,667</w:t>
            </w:r>
          </w:p>
        </w:tc>
        <w:tc>
          <w:tcPr>
            <w:tcW w:w="482" w:type="pct"/>
            <w:tcBorders>
              <w:top w:val="nil"/>
              <w:left w:val="nil"/>
              <w:bottom w:val="nil"/>
              <w:right w:val="single" w:sz="12" w:space="0" w:color="auto"/>
            </w:tcBorders>
            <w:shd w:val="clear" w:color="000000" w:fill="FFFFFF"/>
            <w:noWrap/>
            <w:vAlign w:val="center"/>
            <w:hideMark/>
          </w:tcPr>
          <w:p w14:paraId="65C6124C" w14:textId="653CD635"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-29%</w:t>
            </w:r>
          </w:p>
        </w:tc>
        <w:tc>
          <w:tcPr>
            <w:tcW w:w="481" w:type="pct"/>
            <w:tcBorders>
              <w:top w:val="nil"/>
              <w:left w:val="nil"/>
              <w:bottom w:val="nil"/>
              <w:right w:val="nil"/>
            </w:tcBorders>
            <w:noWrap/>
            <w:vAlign w:val="center"/>
            <w:hideMark/>
          </w:tcPr>
          <w:p w14:paraId="7AB8E09F" w14:textId="46F8EBF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61,097</w:t>
            </w:r>
          </w:p>
        </w:tc>
        <w:tc>
          <w:tcPr>
            <w:tcW w:w="456" w:type="pct"/>
            <w:tcBorders>
              <w:top w:val="nil"/>
              <w:left w:val="nil"/>
              <w:bottom w:val="nil"/>
              <w:right w:val="nil"/>
            </w:tcBorders>
            <w:noWrap/>
            <w:vAlign w:val="center"/>
            <w:hideMark/>
          </w:tcPr>
          <w:p w14:paraId="218E2CFF" w14:textId="38BDEA89"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52,961</w:t>
            </w:r>
          </w:p>
        </w:tc>
        <w:tc>
          <w:tcPr>
            <w:tcW w:w="503" w:type="pct"/>
            <w:tcBorders>
              <w:top w:val="nil"/>
              <w:left w:val="nil"/>
              <w:bottom w:val="nil"/>
              <w:right w:val="nil"/>
            </w:tcBorders>
            <w:shd w:val="clear" w:color="000000" w:fill="FFFFFF"/>
            <w:noWrap/>
            <w:vAlign w:val="center"/>
            <w:hideMark/>
          </w:tcPr>
          <w:p w14:paraId="66610894" w14:textId="2FA4CD9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-13%</w:t>
            </w:r>
          </w:p>
        </w:tc>
      </w:tr>
      <w:tr w:rsidR="0007686D" w:rsidRPr="00627DA0" w14:paraId="4ED24933" w14:textId="77777777" w:rsidTr="0007686D">
        <w:trPr>
          <w:trHeight w:val="300"/>
        </w:trPr>
        <w:tc>
          <w:tcPr>
            <w:tcW w:w="722" w:type="pct"/>
            <w:tcBorders>
              <w:top w:val="nil"/>
              <w:left w:val="nil"/>
              <w:bottom w:val="nil"/>
              <w:right w:val="nil"/>
            </w:tcBorders>
            <w:shd w:val="clear" w:color="000000" w:fill="F2F2F2"/>
            <w:noWrap/>
            <w:vAlign w:val="center"/>
            <w:hideMark/>
          </w:tcPr>
          <w:p w14:paraId="28F5E85A" w14:textId="77777777" w:rsidR="0007686D" w:rsidRPr="00627DA0" w:rsidRDefault="0007686D" w:rsidP="0007686D">
            <w:pPr>
              <w:spacing w:after="0" w:line="240" w:lineRule="auto"/>
              <w:jc w:val="left"/>
              <w:rPr>
                <w:rFonts w:asciiTheme="minorHAnsi" w:eastAsia="Times New Roman" w:hAnsiTheme="minorHAnsi" w:cs="Calibri"/>
                <w:color w:val="000000"/>
                <w:sz w:val="18"/>
                <w:szCs w:val="18"/>
              </w:rPr>
            </w:pPr>
            <w:r w:rsidRPr="00627DA0">
              <w:rPr>
                <w:rFonts w:asciiTheme="minorHAnsi" w:eastAsia="Times New Roman" w:hAnsiTheme="minorHAnsi" w:cs="Calibri"/>
                <w:color w:val="000000"/>
                <w:sz w:val="18"/>
                <w:szCs w:val="18"/>
              </w:rPr>
              <w:t>Industrial</w:t>
            </w:r>
          </w:p>
        </w:tc>
        <w:tc>
          <w:tcPr>
            <w:tcW w:w="481" w:type="pct"/>
            <w:tcBorders>
              <w:top w:val="nil"/>
              <w:left w:val="nil"/>
              <w:bottom w:val="nil"/>
              <w:right w:val="nil"/>
            </w:tcBorders>
            <w:shd w:val="clear" w:color="000000" w:fill="F2F2F2"/>
            <w:noWrap/>
            <w:vAlign w:val="center"/>
            <w:hideMark/>
          </w:tcPr>
          <w:p w14:paraId="7CDF7F70" w14:textId="44DC5A15"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101</w:t>
            </w:r>
          </w:p>
        </w:tc>
        <w:tc>
          <w:tcPr>
            <w:tcW w:w="481" w:type="pct"/>
            <w:tcBorders>
              <w:top w:val="nil"/>
              <w:left w:val="nil"/>
              <w:bottom w:val="nil"/>
              <w:right w:val="nil"/>
            </w:tcBorders>
            <w:shd w:val="clear" w:color="000000" w:fill="F2F2F2"/>
            <w:noWrap/>
            <w:vAlign w:val="center"/>
            <w:hideMark/>
          </w:tcPr>
          <w:p w14:paraId="2528D51D" w14:textId="37090593"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64</w:t>
            </w:r>
          </w:p>
        </w:tc>
        <w:tc>
          <w:tcPr>
            <w:tcW w:w="481" w:type="pct"/>
            <w:tcBorders>
              <w:top w:val="nil"/>
              <w:left w:val="nil"/>
              <w:bottom w:val="nil"/>
              <w:right w:val="single" w:sz="12" w:space="0" w:color="auto"/>
            </w:tcBorders>
            <w:shd w:val="clear" w:color="000000" w:fill="F2F2F2"/>
            <w:noWrap/>
            <w:vAlign w:val="center"/>
            <w:hideMark/>
          </w:tcPr>
          <w:p w14:paraId="2A8482E4" w14:textId="76F9860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-36%</w:t>
            </w:r>
          </w:p>
        </w:tc>
        <w:tc>
          <w:tcPr>
            <w:tcW w:w="481" w:type="pct"/>
            <w:tcBorders>
              <w:top w:val="nil"/>
              <w:left w:val="nil"/>
              <w:bottom w:val="nil"/>
              <w:right w:val="nil"/>
            </w:tcBorders>
            <w:shd w:val="clear" w:color="000000" w:fill="F2F2F2"/>
            <w:noWrap/>
            <w:vAlign w:val="center"/>
            <w:hideMark/>
          </w:tcPr>
          <w:p w14:paraId="389E3800" w14:textId="3CC89363"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2,829</w:t>
            </w:r>
          </w:p>
        </w:tc>
        <w:tc>
          <w:tcPr>
            <w:tcW w:w="433" w:type="pct"/>
            <w:tcBorders>
              <w:top w:val="nil"/>
              <w:left w:val="nil"/>
              <w:bottom w:val="nil"/>
              <w:right w:val="nil"/>
            </w:tcBorders>
            <w:shd w:val="clear" w:color="000000" w:fill="F2F2F2"/>
            <w:noWrap/>
            <w:vAlign w:val="center"/>
            <w:hideMark/>
          </w:tcPr>
          <w:p w14:paraId="28D7234E" w14:textId="0AE63222"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2,763</w:t>
            </w:r>
          </w:p>
        </w:tc>
        <w:tc>
          <w:tcPr>
            <w:tcW w:w="482" w:type="pct"/>
            <w:tcBorders>
              <w:top w:val="nil"/>
              <w:left w:val="nil"/>
              <w:bottom w:val="nil"/>
              <w:right w:val="single" w:sz="12" w:space="0" w:color="auto"/>
            </w:tcBorders>
            <w:shd w:val="clear" w:color="000000" w:fill="F2F2F2"/>
            <w:noWrap/>
            <w:vAlign w:val="center"/>
            <w:hideMark/>
          </w:tcPr>
          <w:p w14:paraId="60722FDD" w14:textId="26E26A95"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w:t>
            </w:r>
          </w:p>
        </w:tc>
        <w:tc>
          <w:tcPr>
            <w:tcW w:w="481" w:type="pct"/>
            <w:tcBorders>
              <w:top w:val="nil"/>
              <w:left w:val="nil"/>
              <w:bottom w:val="nil"/>
              <w:right w:val="nil"/>
            </w:tcBorders>
            <w:shd w:val="clear" w:color="000000" w:fill="F2F2F2"/>
            <w:noWrap/>
            <w:vAlign w:val="center"/>
            <w:hideMark/>
          </w:tcPr>
          <w:p w14:paraId="17A32AE6" w14:textId="646C97B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7,813</w:t>
            </w:r>
          </w:p>
        </w:tc>
        <w:tc>
          <w:tcPr>
            <w:tcW w:w="456" w:type="pct"/>
            <w:tcBorders>
              <w:top w:val="nil"/>
              <w:left w:val="nil"/>
              <w:bottom w:val="nil"/>
              <w:right w:val="nil"/>
            </w:tcBorders>
            <w:shd w:val="clear" w:color="000000" w:fill="F2F2F2"/>
            <w:noWrap/>
            <w:vAlign w:val="center"/>
            <w:hideMark/>
          </w:tcPr>
          <w:p w14:paraId="69B16576" w14:textId="788CA8BD"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10,258</w:t>
            </w:r>
          </w:p>
        </w:tc>
        <w:tc>
          <w:tcPr>
            <w:tcW w:w="503" w:type="pct"/>
            <w:tcBorders>
              <w:top w:val="nil"/>
              <w:left w:val="nil"/>
              <w:bottom w:val="nil"/>
              <w:right w:val="nil"/>
            </w:tcBorders>
            <w:shd w:val="clear" w:color="000000" w:fill="F2F2F2"/>
            <w:noWrap/>
            <w:vAlign w:val="center"/>
            <w:hideMark/>
          </w:tcPr>
          <w:p w14:paraId="558E4AA4" w14:textId="25AC430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31%</w:t>
            </w:r>
          </w:p>
        </w:tc>
      </w:tr>
      <w:tr w:rsidR="0007686D" w:rsidRPr="00627DA0" w14:paraId="4A183D14" w14:textId="77777777" w:rsidTr="0007686D">
        <w:trPr>
          <w:trHeight w:val="300"/>
        </w:trPr>
        <w:tc>
          <w:tcPr>
            <w:tcW w:w="722" w:type="pct"/>
            <w:tcBorders>
              <w:top w:val="nil"/>
              <w:left w:val="nil"/>
              <w:bottom w:val="nil"/>
              <w:right w:val="nil"/>
            </w:tcBorders>
            <w:shd w:val="clear" w:color="000000" w:fill="FFFFFF"/>
            <w:noWrap/>
            <w:vAlign w:val="center"/>
            <w:hideMark/>
          </w:tcPr>
          <w:p w14:paraId="744EF846" w14:textId="77777777" w:rsidR="0007686D" w:rsidRPr="00627DA0" w:rsidRDefault="0007686D" w:rsidP="0007686D">
            <w:pPr>
              <w:spacing w:after="0" w:line="240" w:lineRule="auto"/>
              <w:jc w:val="left"/>
              <w:rPr>
                <w:rFonts w:asciiTheme="minorHAnsi" w:eastAsia="Times New Roman" w:hAnsiTheme="minorHAnsi" w:cs="Calibri"/>
                <w:color w:val="000000"/>
                <w:sz w:val="18"/>
                <w:szCs w:val="18"/>
              </w:rPr>
            </w:pPr>
            <w:r w:rsidRPr="00627DA0">
              <w:rPr>
                <w:rFonts w:asciiTheme="minorHAnsi" w:eastAsia="Times New Roman" w:hAnsiTheme="minorHAnsi" w:cs="Calibri"/>
                <w:color w:val="000000"/>
                <w:sz w:val="18"/>
                <w:szCs w:val="18"/>
              </w:rPr>
              <w:t>Utility</w:t>
            </w:r>
          </w:p>
        </w:tc>
        <w:tc>
          <w:tcPr>
            <w:tcW w:w="481" w:type="pct"/>
            <w:tcBorders>
              <w:top w:val="nil"/>
              <w:left w:val="nil"/>
              <w:bottom w:val="nil"/>
              <w:right w:val="nil"/>
            </w:tcBorders>
            <w:noWrap/>
            <w:vAlign w:val="center"/>
            <w:hideMark/>
          </w:tcPr>
          <w:p w14:paraId="149791F7" w14:textId="6FB83A58"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588</w:t>
            </w:r>
          </w:p>
        </w:tc>
        <w:tc>
          <w:tcPr>
            <w:tcW w:w="481" w:type="pct"/>
            <w:tcBorders>
              <w:top w:val="nil"/>
              <w:left w:val="nil"/>
              <w:bottom w:val="nil"/>
              <w:right w:val="nil"/>
            </w:tcBorders>
            <w:noWrap/>
            <w:vAlign w:val="center"/>
            <w:hideMark/>
          </w:tcPr>
          <w:p w14:paraId="15C76003" w14:textId="53882DD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115</w:t>
            </w:r>
          </w:p>
        </w:tc>
        <w:tc>
          <w:tcPr>
            <w:tcW w:w="481" w:type="pct"/>
            <w:tcBorders>
              <w:top w:val="nil"/>
              <w:left w:val="nil"/>
              <w:bottom w:val="nil"/>
              <w:right w:val="single" w:sz="12" w:space="0" w:color="auto"/>
            </w:tcBorders>
            <w:shd w:val="clear" w:color="000000" w:fill="FFFFFF"/>
            <w:noWrap/>
            <w:vAlign w:val="center"/>
            <w:hideMark/>
          </w:tcPr>
          <w:p w14:paraId="1CBB1E2C" w14:textId="0FD88823"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-81%</w:t>
            </w:r>
          </w:p>
        </w:tc>
        <w:tc>
          <w:tcPr>
            <w:tcW w:w="481" w:type="pct"/>
            <w:tcBorders>
              <w:top w:val="nil"/>
              <w:left w:val="nil"/>
              <w:bottom w:val="nil"/>
              <w:right w:val="nil"/>
            </w:tcBorders>
            <w:noWrap/>
            <w:vAlign w:val="center"/>
            <w:hideMark/>
          </w:tcPr>
          <w:p w14:paraId="5181319C" w14:textId="58FEE85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12,891</w:t>
            </w:r>
          </w:p>
        </w:tc>
        <w:tc>
          <w:tcPr>
            <w:tcW w:w="433" w:type="pct"/>
            <w:tcBorders>
              <w:top w:val="nil"/>
              <w:left w:val="nil"/>
              <w:bottom w:val="nil"/>
              <w:right w:val="nil"/>
            </w:tcBorders>
            <w:noWrap/>
            <w:vAlign w:val="center"/>
            <w:hideMark/>
          </w:tcPr>
          <w:p w14:paraId="64590D47" w14:textId="776F45E1"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5,063</w:t>
            </w:r>
          </w:p>
        </w:tc>
        <w:tc>
          <w:tcPr>
            <w:tcW w:w="482" w:type="pct"/>
            <w:tcBorders>
              <w:top w:val="nil"/>
              <w:left w:val="nil"/>
              <w:bottom w:val="nil"/>
              <w:right w:val="single" w:sz="12" w:space="0" w:color="auto"/>
            </w:tcBorders>
            <w:shd w:val="clear" w:color="000000" w:fill="FFFFFF"/>
            <w:noWrap/>
            <w:vAlign w:val="center"/>
            <w:hideMark/>
          </w:tcPr>
          <w:p w14:paraId="475F544E" w14:textId="56EE8A7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-61%</w:t>
            </w:r>
          </w:p>
        </w:tc>
        <w:tc>
          <w:tcPr>
            <w:tcW w:w="481" w:type="pct"/>
            <w:tcBorders>
              <w:top w:val="nil"/>
              <w:left w:val="nil"/>
              <w:bottom w:val="nil"/>
              <w:right w:val="nil"/>
            </w:tcBorders>
            <w:noWrap/>
            <w:vAlign w:val="center"/>
            <w:hideMark/>
          </w:tcPr>
          <w:p w14:paraId="2F320350" w14:textId="5303277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24,433</w:t>
            </w:r>
          </w:p>
        </w:tc>
        <w:tc>
          <w:tcPr>
            <w:tcW w:w="456" w:type="pct"/>
            <w:tcBorders>
              <w:top w:val="nil"/>
              <w:left w:val="nil"/>
              <w:bottom w:val="nil"/>
              <w:right w:val="nil"/>
            </w:tcBorders>
            <w:noWrap/>
            <w:vAlign w:val="center"/>
            <w:hideMark/>
          </w:tcPr>
          <w:p w14:paraId="2CB5D8C6" w14:textId="1E3FE409"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14,907</w:t>
            </w:r>
          </w:p>
        </w:tc>
        <w:tc>
          <w:tcPr>
            <w:tcW w:w="503" w:type="pct"/>
            <w:tcBorders>
              <w:top w:val="nil"/>
              <w:left w:val="nil"/>
              <w:bottom w:val="nil"/>
              <w:right w:val="nil"/>
            </w:tcBorders>
            <w:shd w:val="clear" w:color="000000" w:fill="FFFFFF"/>
            <w:noWrap/>
            <w:vAlign w:val="center"/>
            <w:hideMark/>
          </w:tcPr>
          <w:p w14:paraId="5749ED0F" w14:textId="6E2FD01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-39%</w:t>
            </w:r>
          </w:p>
        </w:tc>
      </w:tr>
      <w:tr w:rsidR="0007686D" w:rsidRPr="00627DA0" w14:paraId="77C28E29" w14:textId="77777777" w:rsidTr="0007686D">
        <w:trPr>
          <w:trHeight w:val="315"/>
        </w:trPr>
        <w:tc>
          <w:tcPr>
            <w:tcW w:w="722" w:type="pct"/>
            <w:tcBorders>
              <w:top w:val="nil"/>
              <w:left w:val="nil"/>
              <w:bottom w:val="single" w:sz="8" w:space="0" w:color="002C7C"/>
              <w:right w:val="nil"/>
            </w:tcBorders>
            <w:shd w:val="clear" w:color="000000" w:fill="F2F2F2"/>
            <w:noWrap/>
            <w:vAlign w:val="center"/>
            <w:hideMark/>
          </w:tcPr>
          <w:p w14:paraId="1EEBFFEF" w14:textId="77777777" w:rsidR="0007686D" w:rsidRPr="00627DA0" w:rsidRDefault="0007686D" w:rsidP="0007686D">
            <w:pPr>
              <w:spacing w:after="0" w:line="240" w:lineRule="auto"/>
              <w:jc w:val="left"/>
              <w:rPr>
                <w:rFonts w:asciiTheme="minorHAnsi" w:eastAsia="Times New Roman" w:hAnsiTheme="minorHAnsi" w:cs="Calibri"/>
                <w:color w:val="000000"/>
                <w:sz w:val="18"/>
                <w:szCs w:val="18"/>
              </w:rPr>
            </w:pPr>
            <w:r w:rsidRPr="00627DA0">
              <w:rPr>
                <w:rFonts w:asciiTheme="minorHAnsi" w:eastAsia="Times New Roman" w:hAnsiTheme="minorHAnsi" w:cs="Calibri"/>
                <w:color w:val="000000"/>
                <w:sz w:val="18"/>
                <w:szCs w:val="18"/>
              </w:rPr>
              <w:t>Agricultural</w:t>
            </w:r>
          </w:p>
        </w:tc>
        <w:tc>
          <w:tcPr>
            <w:tcW w:w="481" w:type="pct"/>
            <w:tcBorders>
              <w:top w:val="nil"/>
              <w:left w:val="nil"/>
              <w:bottom w:val="single" w:sz="8" w:space="0" w:color="auto"/>
              <w:right w:val="nil"/>
            </w:tcBorders>
            <w:shd w:val="clear" w:color="000000" w:fill="F2F2F2"/>
            <w:noWrap/>
            <w:vAlign w:val="center"/>
            <w:hideMark/>
          </w:tcPr>
          <w:p w14:paraId="5EC63B3B" w14:textId="0D41C8C9"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119</w:t>
            </w:r>
          </w:p>
        </w:tc>
        <w:tc>
          <w:tcPr>
            <w:tcW w:w="481" w:type="pct"/>
            <w:tcBorders>
              <w:top w:val="nil"/>
              <w:left w:val="nil"/>
              <w:bottom w:val="single" w:sz="8" w:space="0" w:color="auto"/>
              <w:right w:val="nil"/>
            </w:tcBorders>
            <w:shd w:val="clear" w:color="000000" w:fill="F2F2F2"/>
            <w:noWrap/>
            <w:vAlign w:val="center"/>
            <w:hideMark/>
          </w:tcPr>
          <w:p w14:paraId="75DB243E" w14:textId="06CEE45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64</w:t>
            </w:r>
          </w:p>
        </w:tc>
        <w:tc>
          <w:tcPr>
            <w:tcW w:w="481" w:type="pct"/>
            <w:tcBorders>
              <w:top w:val="nil"/>
              <w:left w:val="nil"/>
              <w:bottom w:val="single" w:sz="8" w:space="0" w:color="002C7C"/>
              <w:right w:val="single" w:sz="12" w:space="0" w:color="auto"/>
            </w:tcBorders>
            <w:shd w:val="clear" w:color="000000" w:fill="F2F2F2"/>
            <w:noWrap/>
            <w:vAlign w:val="center"/>
            <w:hideMark/>
          </w:tcPr>
          <w:p w14:paraId="730A483F" w14:textId="0F4F58F8"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-46%</w:t>
            </w:r>
          </w:p>
        </w:tc>
        <w:tc>
          <w:tcPr>
            <w:tcW w:w="481" w:type="pct"/>
            <w:tcBorders>
              <w:top w:val="nil"/>
              <w:left w:val="nil"/>
              <w:bottom w:val="single" w:sz="8" w:space="0" w:color="auto"/>
              <w:right w:val="nil"/>
            </w:tcBorders>
            <w:shd w:val="clear" w:color="000000" w:fill="F2F2F2"/>
            <w:noWrap/>
            <w:vAlign w:val="center"/>
            <w:hideMark/>
          </w:tcPr>
          <w:p w14:paraId="6C827E1D" w14:textId="4E9A03D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1,768</w:t>
            </w:r>
          </w:p>
        </w:tc>
        <w:tc>
          <w:tcPr>
            <w:tcW w:w="433" w:type="pct"/>
            <w:tcBorders>
              <w:top w:val="nil"/>
              <w:left w:val="nil"/>
              <w:bottom w:val="single" w:sz="8" w:space="0" w:color="auto"/>
              <w:right w:val="nil"/>
            </w:tcBorders>
            <w:shd w:val="clear" w:color="000000" w:fill="F2F2F2"/>
            <w:noWrap/>
            <w:vAlign w:val="center"/>
            <w:hideMark/>
          </w:tcPr>
          <w:p w14:paraId="652D07A8" w14:textId="54FFC927"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1,358</w:t>
            </w:r>
          </w:p>
        </w:tc>
        <w:tc>
          <w:tcPr>
            <w:tcW w:w="482" w:type="pct"/>
            <w:tcBorders>
              <w:top w:val="nil"/>
              <w:left w:val="nil"/>
              <w:bottom w:val="single" w:sz="8" w:space="0" w:color="002C7C"/>
              <w:right w:val="single" w:sz="12" w:space="0" w:color="auto"/>
            </w:tcBorders>
            <w:shd w:val="clear" w:color="000000" w:fill="F2F2F2"/>
            <w:noWrap/>
            <w:vAlign w:val="center"/>
            <w:hideMark/>
          </w:tcPr>
          <w:p w14:paraId="0B8BB23E" w14:textId="7FE8C93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-23%</w:t>
            </w:r>
          </w:p>
        </w:tc>
        <w:tc>
          <w:tcPr>
            <w:tcW w:w="481" w:type="pct"/>
            <w:tcBorders>
              <w:top w:val="nil"/>
              <w:left w:val="nil"/>
              <w:bottom w:val="single" w:sz="8" w:space="0" w:color="auto"/>
              <w:right w:val="nil"/>
            </w:tcBorders>
            <w:shd w:val="clear" w:color="000000" w:fill="F2F2F2"/>
            <w:noWrap/>
            <w:vAlign w:val="center"/>
            <w:hideMark/>
          </w:tcPr>
          <w:p w14:paraId="0941B1D2" w14:textId="4294985D"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3,032</w:t>
            </w:r>
          </w:p>
        </w:tc>
        <w:tc>
          <w:tcPr>
            <w:tcW w:w="456" w:type="pct"/>
            <w:tcBorders>
              <w:top w:val="nil"/>
              <w:left w:val="nil"/>
              <w:bottom w:val="single" w:sz="8" w:space="0" w:color="auto"/>
              <w:right w:val="nil"/>
            </w:tcBorders>
            <w:shd w:val="clear" w:color="000000" w:fill="F2F2F2"/>
            <w:noWrap/>
            <w:vAlign w:val="center"/>
            <w:hideMark/>
          </w:tcPr>
          <w:p w14:paraId="384F68BB" w14:textId="515CA000"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2,778</w:t>
            </w:r>
          </w:p>
        </w:tc>
        <w:tc>
          <w:tcPr>
            <w:tcW w:w="503" w:type="pct"/>
            <w:tcBorders>
              <w:top w:val="nil"/>
              <w:left w:val="nil"/>
              <w:bottom w:val="single" w:sz="8" w:space="0" w:color="002C7C"/>
              <w:right w:val="nil"/>
            </w:tcBorders>
            <w:shd w:val="clear" w:color="000000" w:fill="F2F2F2"/>
            <w:noWrap/>
            <w:vAlign w:val="center"/>
            <w:hideMark/>
          </w:tcPr>
          <w:p w14:paraId="5971A48D" w14:textId="6E6C6956" w:rsidR="0007686D" w:rsidRPr="00627DA0" w:rsidRDefault="0007686D" w:rsidP="0007686D">
            <w:pPr>
              <w:spacing w:after="0" w:line="240" w:lineRule="auto"/>
              <w:jc w:val="right"/>
              <w:rPr>
                <w:rFonts w:asciiTheme="minorHAnsi" w:eastAsia="Times New Roman" w:hAnsiTheme="minorHAnsi" w:cs="Calibri"/>
                <w:color w:val="000000"/>
                <w:sz w:val="18"/>
                <w:szCs w:val="18"/>
              </w:rPr>
            </w:pPr>
            <w:r w:rsidRPr="00627DA0">
              <w:rPr>
                <w:rFonts w:cs="Calibri"/>
                <w:color w:val="000000"/>
                <w:sz w:val="18"/>
                <w:szCs w:val="18"/>
              </w:rPr>
              <w:t>-8%</w:t>
            </w:r>
          </w:p>
        </w:tc>
      </w:tr>
      <w:tr w:rsidR="0007686D" w:rsidRPr="00627DA0" w14:paraId="75185F9A" w14:textId="77777777" w:rsidTr="0007686D">
        <w:trPr>
          <w:trHeight w:val="315"/>
        </w:trPr>
        <w:tc>
          <w:tcPr>
            <w:tcW w:w="722" w:type="pct"/>
            <w:tcBorders>
              <w:top w:val="nil"/>
              <w:left w:val="nil"/>
              <w:bottom w:val="single" w:sz="12" w:space="0" w:color="auto"/>
              <w:right w:val="nil"/>
            </w:tcBorders>
            <w:shd w:val="clear" w:color="000000" w:fill="F2F2F2"/>
            <w:noWrap/>
            <w:vAlign w:val="center"/>
            <w:hideMark/>
          </w:tcPr>
          <w:p w14:paraId="7DD4AC08" w14:textId="77777777" w:rsidR="0007686D" w:rsidRPr="00627DA0" w:rsidRDefault="0007686D" w:rsidP="0007686D">
            <w:pPr>
              <w:spacing w:after="0" w:line="240" w:lineRule="auto"/>
              <w:jc w:val="left"/>
              <w:rPr>
                <w:rFonts w:asciiTheme="minorHAnsi" w:eastAsia="Times New Roman" w:hAnsiTheme="minorHAnsi" w:cs="Calibri"/>
                <w:b/>
                <w:bCs/>
                <w:color w:val="000000"/>
                <w:sz w:val="18"/>
                <w:szCs w:val="18"/>
              </w:rPr>
            </w:pPr>
            <w:r w:rsidRPr="00627DA0">
              <w:rPr>
                <w:rFonts w:asciiTheme="minorHAnsi" w:eastAsia="Times New Roman" w:hAnsiTheme="minorHAnsi" w:cs="Calibri"/>
                <w:b/>
                <w:bCs/>
                <w:color w:val="000000"/>
                <w:sz w:val="18"/>
                <w:szCs w:val="18"/>
              </w:rPr>
              <w:t>Total</w:t>
            </w:r>
          </w:p>
        </w:tc>
        <w:tc>
          <w:tcPr>
            <w:tcW w:w="481" w:type="pct"/>
            <w:tcBorders>
              <w:top w:val="nil"/>
              <w:left w:val="nil"/>
              <w:bottom w:val="single" w:sz="12" w:space="0" w:color="auto"/>
              <w:right w:val="nil"/>
            </w:tcBorders>
            <w:shd w:val="clear" w:color="000000" w:fill="F2F2F2"/>
            <w:noWrap/>
            <w:vAlign w:val="center"/>
            <w:hideMark/>
          </w:tcPr>
          <w:p w14:paraId="62D8B9E5" w14:textId="7ED59182"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5,121</w:t>
            </w:r>
          </w:p>
        </w:tc>
        <w:tc>
          <w:tcPr>
            <w:tcW w:w="481" w:type="pct"/>
            <w:tcBorders>
              <w:top w:val="nil"/>
              <w:left w:val="nil"/>
              <w:bottom w:val="single" w:sz="12" w:space="0" w:color="auto"/>
              <w:right w:val="nil"/>
            </w:tcBorders>
            <w:shd w:val="clear" w:color="000000" w:fill="F2F2F2"/>
            <w:noWrap/>
            <w:vAlign w:val="center"/>
            <w:hideMark/>
          </w:tcPr>
          <w:p w14:paraId="2F60844C" w14:textId="3B26BBD8"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2,741</w:t>
            </w:r>
          </w:p>
        </w:tc>
        <w:tc>
          <w:tcPr>
            <w:tcW w:w="481" w:type="pct"/>
            <w:tcBorders>
              <w:top w:val="nil"/>
              <w:left w:val="nil"/>
              <w:bottom w:val="single" w:sz="12" w:space="0" w:color="auto"/>
              <w:right w:val="single" w:sz="12" w:space="0" w:color="auto"/>
            </w:tcBorders>
            <w:shd w:val="clear" w:color="000000" w:fill="F2F2F2"/>
            <w:noWrap/>
            <w:vAlign w:val="center"/>
            <w:hideMark/>
          </w:tcPr>
          <w:p w14:paraId="24C025FD" w14:textId="0A6C314D"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-46%</w:t>
            </w:r>
          </w:p>
        </w:tc>
        <w:tc>
          <w:tcPr>
            <w:tcW w:w="481" w:type="pct"/>
            <w:tcBorders>
              <w:top w:val="nil"/>
              <w:left w:val="nil"/>
              <w:bottom w:val="single" w:sz="12" w:space="0" w:color="auto"/>
              <w:right w:val="nil"/>
            </w:tcBorders>
            <w:shd w:val="clear" w:color="000000" w:fill="F2F2F2"/>
            <w:noWrap/>
            <w:vAlign w:val="center"/>
            <w:hideMark/>
          </w:tcPr>
          <w:p w14:paraId="7A7E0E3C" w14:textId="3D7F0831"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87,110</w:t>
            </w:r>
          </w:p>
        </w:tc>
        <w:tc>
          <w:tcPr>
            <w:tcW w:w="433" w:type="pct"/>
            <w:tcBorders>
              <w:top w:val="nil"/>
              <w:left w:val="nil"/>
              <w:bottom w:val="single" w:sz="12" w:space="0" w:color="auto"/>
              <w:right w:val="nil"/>
            </w:tcBorders>
            <w:shd w:val="clear" w:color="000000" w:fill="F2F2F2"/>
            <w:noWrap/>
            <w:vAlign w:val="center"/>
            <w:hideMark/>
          </w:tcPr>
          <w:p w14:paraId="50F4FDE5" w14:textId="7C07477F"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59,313</w:t>
            </w:r>
          </w:p>
        </w:tc>
        <w:tc>
          <w:tcPr>
            <w:tcW w:w="482" w:type="pct"/>
            <w:tcBorders>
              <w:top w:val="nil"/>
              <w:left w:val="nil"/>
              <w:bottom w:val="single" w:sz="12" w:space="0" w:color="auto"/>
              <w:right w:val="single" w:sz="12" w:space="0" w:color="auto"/>
            </w:tcBorders>
            <w:shd w:val="clear" w:color="000000" w:fill="F2F2F2"/>
            <w:noWrap/>
            <w:vAlign w:val="center"/>
            <w:hideMark/>
          </w:tcPr>
          <w:p w14:paraId="61BD1BD2" w14:textId="6BEF41D9"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-32%</w:t>
            </w:r>
          </w:p>
        </w:tc>
        <w:tc>
          <w:tcPr>
            <w:tcW w:w="481" w:type="pct"/>
            <w:tcBorders>
              <w:top w:val="nil"/>
              <w:left w:val="nil"/>
              <w:bottom w:val="single" w:sz="12" w:space="0" w:color="auto"/>
              <w:right w:val="nil"/>
            </w:tcBorders>
            <w:shd w:val="clear" w:color="000000" w:fill="F2F2F2"/>
            <w:noWrap/>
            <w:vAlign w:val="center"/>
            <w:hideMark/>
          </w:tcPr>
          <w:p w14:paraId="2EE13B21" w14:textId="6DAD495A"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214,858</w:t>
            </w:r>
          </w:p>
        </w:tc>
        <w:tc>
          <w:tcPr>
            <w:tcW w:w="456" w:type="pct"/>
            <w:tcBorders>
              <w:top w:val="nil"/>
              <w:left w:val="nil"/>
              <w:bottom w:val="single" w:sz="12" w:space="0" w:color="auto"/>
              <w:right w:val="nil"/>
            </w:tcBorders>
            <w:shd w:val="clear" w:color="000000" w:fill="F2F2F2"/>
            <w:noWrap/>
            <w:vAlign w:val="center"/>
            <w:hideMark/>
          </w:tcPr>
          <w:p w14:paraId="11A633CA" w14:textId="635ADB32"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189,961</w:t>
            </w:r>
          </w:p>
        </w:tc>
        <w:tc>
          <w:tcPr>
            <w:tcW w:w="503" w:type="pct"/>
            <w:tcBorders>
              <w:top w:val="nil"/>
              <w:left w:val="nil"/>
              <w:bottom w:val="single" w:sz="12" w:space="0" w:color="auto"/>
              <w:right w:val="nil"/>
            </w:tcBorders>
            <w:shd w:val="clear" w:color="000000" w:fill="F2F2F2"/>
            <w:noWrap/>
            <w:vAlign w:val="center"/>
            <w:hideMark/>
          </w:tcPr>
          <w:p w14:paraId="301D74D8" w14:textId="30FD76AF" w:rsidR="0007686D" w:rsidRPr="00627DA0" w:rsidRDefault="0007686D" w:rsidP="0007686D">
            <w:pPr>
              <w:spacing w:after="0" w:line="240" w:lineRule="auto"/>
              <w:jc w:val="right"/>
              <w:rPr>
                <w:rFonts w:asciiTheme="minorHAnsi" w:eastAsia="Times New Roman" w:hAnsiTheme="minorHAnsi" w:cs="Calibri"/>
                <w:b/>
                <w:bCs/>
                <w:color w:val="000000"/>
                <w:sz w:val="18"/>
                <w:szCs w:val="18"/>
              </w:rPr>
            </w:pPr>
            <w:r w:rsidRPr="00627DA0">
              <w:rPr>
                <w:rFonts w:cs="Calibri"/>
                <w:b/>
                <w:bCs/>
                <w:color w:val="000000"/>
                <w:sz w:val="18"/>
                <w:szCs w:val="18"/>
              </w:rPr>
              <w:t>-12%</w:t>
            </w:r>
          </w:p>
        </w:tc>
      </w:tr>
    </w:tbl>
    <w:p w14:paraId="1E31F111" w14:textId="5D87C000" w:rsidR="009C71CD" w:rsidRPr="00627DA0" w:rsidRDefault="009C71CD" w:rsidP="009C71CD"/>
    <w:p w14:paraId="43CA6C15" w14:textId="7F7DB820" w:rsidR="00826508" w:rsidRPr="00627DA0" w:rsidRDefault="0054531D" w:rsidP="00826508">
      <w:r w:rsidRPr="00627DA0">
        <w:t xml:space="preserve">Overall cost-effective potential is lower compared to the 2023 CPA due to </w:t>
      </w:r>
      <w:r w:rsidR="003B5C80" w:rsidRPr="00627DA0">
        <w:t>lower market price forecasts th</w:t>
      </w:r>
      <w:r w:rsidR="001730A7" w:rsidRPr="00627DA0">
        <w:t xml:space="preserve">at </w:t>
      </w:r>
      <w:r w:rsidR="0009279C" w:rsidRPr="00627DA0">
        <w:t xml:space="preserve">caused more energy efficiency equipment to </w:t>
      </w:r>
      <w:r w:rsidR="00BD6F03" w:rsidRPr="00627DA0">
        <w:t xml:space="preserve">not meet economic criteria, </w:t>
      </w:r>
      <w:r w:rsidR="003625EE" w:rsidRPr="00627DA0">
        <w:t xml:space="preserve">lower </w:t>
      </w:r>
      <w:r w:rsidR="00F46FC8" w:rsidRPr="00627DA0">
        <w:t xml:space="preserve">customer </w:t>
      </w:r>
      <w:r w:rsidR="003625EE" w:rsidRPr="00627DA0">
        <w:t>forecasts in the commercial and residential sectors, and upda</w:t>
      </w:r>
      <w:r w:rsidR="00F776A4" w:rsidRPr="00627DA0">
        <w:t>ted measure assumptions that impacted cost-effectiveness outcomes.</w:t>
      </w:r>
      <w:r w:rsidR="0033119D" w:rsidRPr="00627DA0">
        <w:t xml:space="preserve"> In the near-term, these changes are compounded wi</w:t>
      </w:r>
      <w:r w:rsidR="00337E1E" w:rsidRPr="00627DA0">
        <w:t>th the impact of slower adoption rates for energy efficiency equipment based on Inland Power’s recent accomplishments and expectations for future savings.</w:t>
      </w:r>
      <w:r w:rsidR="002F1F79" w:rsidRPr="00627DA0">
        <w:t xml:space="preserve"> </w:t>
      </w:r>
    </w:p>
    <w:p w14:paraId="41E19C62" w14:textId="186DE627" w:rsidR="000B2511" w:rsidRPr="00627DA0" w:rsidRDefault="00432240" w:rsidP="00432240">
      <w:pPr>
        <w:pStyle w:val="Heading2"/>
      </w:pPr>
      <w:bookmarkStart w:id="27" w:name="_Toc207870653"/>
      <w:r w:rsidRPr="00627DA0">
        <w:t>Conclusion</w:t>
      </w:r>
      <w:bookmarkEnd w:id="27"/>
    </w:p>
    <w:p w14:paraId="4E79DF6F" w14:textId="66595916" w:rsidR="007267B9" w:rsidRPr="00627DA0" w:rsidRDefault="001B6AB6">
      <w:r w:rsidRPr="00627DA0">
        <w:t xml:space="preserve">This report summarizes the CPA conducted for </w:t>
      </w:r>
      <w:r w:rsidR="0032364D" w:rsidRPr="00627DA0">
        <w:t>Inland Power</w:t>
      </w:r>
      <w:r w:rsidRPr="00627DA0">
        <w:t xml:space="preserve"> for the 202</w:t>
      </w:r>
      <w:r w:rsidR="00992A97" w:rsidRPr="00627DA0">
        <w:t>6</w:t>
      </w:r>
      <w:r w:rsidRPr="00627DA0">
        <w:t xml:space="preserve"> to 20</w:t>
      </w:r>
      <w:r w:rsidR="00D5191F" w:rsidRPr="00627DA0">
        <w:t>45</w:t>
      </w:r>
      <w:r w:rsidRPr="00627DA0">
        <w:t xml:space="preserve"> timeframe. </w:t>
      </w:r>
      <w:r w:rsidR="006152DF" w:rsidRPr="00627DA0">
        <w:t xml:space="preserve">The CPA identified </w:t>
      </w:r>
      <w:r w:rsidR="009E01A4" w:rsidRPr="00627DA0">
        <w:t xml:space="preserve">a </w:t>
      </w:r>
      <w:r w:rsidR="00B27A07" w:rsidRPr="00627DA0">
        <w:t xml:space="preserve">slightly </w:t>
      </w:r>
      <w:r w:rsidR="004668B5" w:rsidRPr="00627DA0">
        <w:t>small</w:t>
      </w:r>
      <w:r w:rsidR="009E01A4" w:rsidRPr="00627DA0">
        <w:t xml:space="preserve">er amount of </w:t>
      </w:r>
      <w:r w:rsidR="00094532" w:rsidRPr="00627DA0">
        <w:t>cost-effective</w:t>
      </w:r>
      <w:r w:rsidR="009E01A4" w:rsidRPr="00627DA0">
        <w:t xml:space="preserve"> potential </w:t>
      </w:r>
      <w:r w:rsidR="00F3710B" w:rsidRPr="00627DA0">
        <w:t>relative to</w:t>
      </w:r>
      <w:r w:rsidR="009E01A4" w:rsidRPr="00627DA0">
        <w:t xml:space="preserve"> the previous CPA</w:t>
      </w:r>
      <w:r w:rsidR="00F3710B" w:rsidRPr="00627DA0">
        <w:t>.</w:t>
      </w:r>
      <w:r w:rsidR="002B402E" w:rsidRPr="00627DA0">
        <w:t xml:space="preserve"> </w:t>
      </w:r>
      <w:r w:rsidR="00A51D8C" w:rsidRPr="00627DA0">
        <w:t xml:space="preserve">The </w:t>
      </w:r>
      <w:r w:rsidR="00094532" w:rsidRPr="00627DA0">
        <w:t>cost-effective</w:t>
      </w:r>
      <w:r w:rsidR="00A51D8C" w:rsidRPr="00627DA0">
        <w:t xml:space="preserve"> potential identified in this assessment can reduce </w:t>
      </w:r>
      <w:r w:rsidR="0032364D" w:rsidRPr="00627DA0">
        <w:t>Inland Power</w:t>
      </w:r>
      <w:r w:rsidR="00A51D8C" w:rsidRPr="00627DA0">
        <w:t>’s annual energy and peak demand by 1</w:t>
      </w:r>
      <w:r w:rsidR="00374DE3" w:rsidRPr="00627DA0">
        <w:t>0</w:t>
      </w:r>
      <w:r w:rsidR="00A51D8C" w:rsidRPr="00627DA0">
        <w:t>% and 1</w:t>
      </w:r>
      <w:r w:rsidR="00374DE3" w:rsidRPr="00627DA0">
        <w:t>5</w:t>
      </w:r>
      <w:r w:rsidR="00A51D8C" w:rsidRPr="00627DA0">
        <w:t>%, respectively.</w:t>
      </w:r>
      <w:r w:rsidR="007267B9" w:rsidRPr="00627DA0">
        <w:br w:type="page"/>
      </w:r>
    </w:p>
    <w:p w14:paraId="672DFFEE" w14:textId="34BA914D" w:rsidR="00E9420C" w:rsidRPr="00627DA0" w:rsidRDefault="00E9420C" w:rsidP="00E9420C">
      <w:pPr>
        <w:pStyle w:val="Heading1"/>
      </w:pPr>
      <w:bookmarkStart w:id="28" w:name="_Toc207870654"/>
      <w:r w:rsidRPr="00627DA0">
        <w:lastRenderedPageBreak/>
        <w:t>Introduction</w:t>
      </w:r>
      <w:bookmarkEnd w:id="28"/>
    </w:p>
    <w:p w14:paraId="5BFB01EF" w14:textId="1ECCE720" w:rsidR="003D11B6" w:rsidRPr="00627DA0" w:rsidRDefault="003D11B6" w:rsidP="003D11B6">
      <w:pPr>
        <w:pStyle w:val="Heading2"/>
      </w:pPr>
      <w:bookmarkStart w:id="29" w:name="_Toc207870655"/>
      <w:r w:rsidRPr="00627DA0">
        <w:t>Objectives</w:t>
      </w:r>
      <w:bookmarkEnd w:id="29"/>
    </w:p>
    <w:p w14:paraId="01CCD1C3" w14:textId="4496E084" w:rsidR="00712165" w:rsidRPr="00627DA0" w:rsidRDefault="00E9420C" w:rsidP="00712165">
      <w:r w:rsidRPr="00627DA0">
        <w:t xml:space="preserve">This report describes the </w:t>
      </w:r>
      <w:r w:rsidR="007267B9" w:rsidRPr="00627DA0">
        <w:t xml:space="preserve">methodology and </w:t>
      </w:r>
      <w:r w:rsidR="000B571C" w:rsidRPr="00627DA0">
        <w:t xml:space="preserve">results of a CPA conducted for </w:t>
      </w:r>
      <w:r w:rsidR="0032364D" w:rsidRPr="00627DA0">
        <w:t>Inland Power</w:t>
      </w:r>
      <w:r w:rsidR="005230A4" w:rsidRPr="00627DA0">
        <w:t xml:space="preserve"> by </w:t>
      </w:r>
      <w:r w:rsidR="00C30A82" w:rsidRPr="00627DA0">
        <w:t>the project team</w:t>
      </w:r>
      <w:r w:rsidR="00730101" w:rsidRPr="00627DA0">
        <w:t>.</w:t>
      </w:r>
      <w:r w:rsidR="00712165" w:rsidRPr="00627DA0">
        <w:t xml:space="preserve"> The </w:t>
      </w:r>
      <w:r w:rsidR="00BF3090" w:rsidRPr="00627DA0">
        <w:t>CPA</w:t>
      </w:r>
      <w:r w:rsidR="00712165" w:rsidRPr="00627DA0">
        <w:t xml:space="preserve"> estimated the </w:t>
      </w:r>
      <w:r w:rsidR="006754DE" w:rsidRPr="00627DA0">
        <w:t>cost-effective</w:t>
      </w:r>
      <w:r w:rsidR="00712165" w:rsidRPr="00627DA0">
        <w:t xml:space="preserve"> potential energy savings for the period of 202</w:t>
      </w:r>
      <w:r w:rsidR="00F07AB9" w:rsidRPr="00627DA0">
        <w:t>6</w:t>
      </w:r>
      <w:r w:rsidR="00712165" w:rsidRPr="00627DA0">
        <w:t xml:space="preserve"> to 2045. This report describes the results of the full 2</w:t>
      </w:r>
      <w:r w:rsidR="00F07AB9" w:rsidRPr="00627DA0">
        <w:t>0</w:t>
      </w:r>
      <w:r w:rsidR="00712165" w:rsidRPr="00627DA0">
        <w:t xml:space="preserve">-year period, with additional detail on the 2- and 10-year periods that are the focus of Washington’s EIA as well as the </w:t>
      </w:r>
      <w:r w:rsidR="00ED513B" w:rsidRPr="00627DA0">
        <w:t>4</w:t>
      </w:r>
      <w:r w:rsidR="00712165" w:rsidRPr="00627DA0">
        <w:t>-year period covering 202</w:t>
      </w:r>
      <w:r w:rsidR="00ED513B" w:rsidRPr="00627DA0">
        <w:t>6</w:t>
      </w:r>
      <w:r w:rsidR="00712165" w:rsidRPr="00627DA0">
        <w:t>-20</w:t>
      </w:r>
      <w:r w:rsidR="00ED513B" w:rsidRPr="00627DA0">
        <w:t>29 that aligns with</w:t>
      </w:r>
      <w:r w:rsidR="005C5435" w:rsidRPr="00627DA0">
        <w:t xml:space="preserve"> </w:t>
      </w:r>
      <w:r w:rsidR="0032364D" w:rsidRPr="00627DA0">
        <w:t>Inland Power</w:t>
      </w:r>
      <w:r w:rsidR="005C5435" w:rsidRPr="00627DA0">
        <w:t>’s 2025 CEIP</w:t>
      </w:r>
      <w:r w:rsidR="00712165" w:rsidRPr="00627DA0">
        <w:t xml:space="preserve">. </w:t>
      </w:r>
    </w:p>
    <w:p w14:paraId="53255241" w14:textId="2D232A83" w:rsidR="00E539D0" w:rsidRPr="00627DA0" w:rsidRDefault="005C4196" w:rsidP="00E9420C">
      <w:r w:rsidRPr="00627DA0">
        <w:t xml:space="preserve">This assessment </w:t>
      </w:r>
      <w:r w:rsidR="00D34260" w:rsidRPr="00627DA0">
        <w:t xml:space="preserve">was conducted in a manner consistent with the requirements </w:t>
      </w:r>
      <w:r w:rsidR="001822C2" w:rsidRPr="00627DA0">
        <w:t xml:space="preserve">of Washington’s RCW 19.285, and WAC 194-37. </w:t>
      </w:r>
      <w:r w:rsidR="008209A6" w:rsidRPr="00627DA0">
        <w:t xml:space="preserve">As such, this report is part of the documentation of </w:t>
      </w:r>
      <w:r w:rsidR="0032364D" w:rsidRPr="00627DA0">
        <w:t>Inland Power</w:t>
      </w:r>
      <w:r w:rsidR="008209A6" w:rsidRPr="00627DA0">
        <w:t xml:space="preserve">’s compliance with these requirements. </w:t>
      </w:r>
      <w:r w:rsidR="00D95BA1" w:rsidRPr="00627DA0">
        <w:t>T</w:t>
      </w:r>
      <w:r w:rsidR="00980CFA" w:rsidRPr="00627DA0">
        <w:t xml:space="preserve">he </w:t>
      </w:r>
      <w:r w:rsidR="00D95BA1" w:rsidRPr="00627DA0">
        <w:t xml:space="preserve">state of </w:t>
      </w:r>
      <w:r w:rsidR="00980CFA" w:rsidRPr="00627DA0">
        <w:t>Washington</w:t>
      </w:r>
      <w:r w:rsidR="00DA1AA5" w:rsidRPr="00627DA0">
        <w:t>’s</w:t>
      </w:r>
      <w:r w:rsidR="00980CFA" w:rsidRPr="00627DA0">
        <w:t xml:space="preserve"> CETA</w:t>
      </w:r>
      <w:r w:rsidR="00DA1AA5" w:rsidRPr="00627DA0">
        <w:t xml:space="preserve"> includes </w:t>
      </w:r>
      <w:r w:rsidR="003314F6" w:rsidRPr="00627DA0">
        <w:t xml:space="preserve">an </w:t>
      </w:r>
      <w:r w:rsidR="00DA1AA5" w:rsidRPr="00627DA0">
        <w:t>additional requirement for CPAs</w:t>
      </w:r>
      <w:r w:rsidR="005F20DE" w:rsidRPr="00627DA0">
        <w:t xml:space="preserve"> </w:t>
      </w:r>
      <w:r w:rsidR="003314F6" w:rsidRPr="00627DA0">
        <w:t>to</w:t>
      </w:r>
      <w:r w:rsidR="00DA1AA5" w:rsidRPr="00627DA0">
        <w:t xml:space="preserve"> use specific values for the social cost of carbon</w:t>
      </w:r>
      <w:r w:rsidR="00705D99" w:rsidRPr="00627DA0">
        <w:t>.</w:t>
      </w:r>
      <w:r w:rsidR="005F20DE" w:rsidRPr="00627DA0">
        <w:t xml:space="preserve"> </w:t>
      </w:r>
      <w:r w:rsidR="00AD5FCF" w:rsidRPr="00627DA0">
        <w:t>The required values were incorporated into this analysis.</w:t>
      </w:r>
    </w:p>
    <w:p w14:paraId="2A778B87" w14:textId="03824561" w:rsidR="005C4196" w:rsidRPr="00627DA0" w:rsidRDefault="00F5448C" w:rsidP="00E9420C">
      <w:r w:rsidRPr="00627DA0">
        <w:t xml:space="preserve">The results of this assessment can </w:t>
      </w:r>
      <w:r w:rsidR="00762FD1" w:rsidRPr="00627DA0">
        <w:t xml:space="preserve">be used to </w:t>
      </w:r>
      <w:r w:rsidRPr="00627DA0">
        <w:t xml:space="preserve">assist </w:t>
      </w:r>
      <w:r w:rsidR="0032364D" w:rsidRPr="00627DA0">
        <w:t>Inland Power</w:t>
      </w:r>
      <w:r w:rsidRPr="00627DA0">
        <w:t xml:space="preserve"> in planning </w:t>
      </w:r>
      <w:r w:rsidR="00762FD1" w:rsidRPr="00627DA0">
        <w:t>its</w:t>
      </w:r>
      <w:r w:rsidRPr="00627DA0">
        <w:t xml:space="preserve"> </w:t>
      </w:r>
      <w:r w:rsidR="00762FD1" w:rsidRPr="00627DA0">
        <w:t xml:space="preserve">energy efficiency programs by identifying the </w:t>
      </w:r>
      <w:r w:rsidR="00980025" w:rsidRPr="00627DA0">
        <w:t xml:space="preserve">amount </w:t>
      </w:r>
      <w:r w:rsidR="00CA7C8C" w:rsidRPr="00627DA0">
        <w:t>of cost-effective energy savings available in various sectors, end uses, and measures.</w:t>
      </w:r>
      <w:r w:rsidR="00FB0E05" w:rsidRPr="00627DA0">
        <w:t xml:space="preserve"> </w:t>
      </w:r>
    </w:p>
    <w:p w14:paraId="3AD4EDC0" w14:textId="2E27F22D" w:rsidR="003D11B6" w:rsidRPr="00627DA0" w:rsidRDefault="003D11B6" w:rsidP="003D11B6">
      <w:pPr>
        <w:pStyle w:val="Heading2"/>
      </w:pPr>
      <w:bookmarkStart w:id="30" w:name="_Toc207870656"/>
      <w:r w:rsidRPr="00627DA0">
        <w:t>Background</w:t>
      </w:r>
      <w:bookmarkEnd w:id="30"/>
    </w:p>
    <w:p w14:paraId="4D82760C" w14:textId="2C1C4D0D" w:rsidR="003D11B6" w:rsidRPr="00627DA0" w:rsidRDefault="00313A65" w:rsidP="003D11B6">
      <w:r w:rsidRPr="00627DA0">
        <w:t xml:space="preserve">Washington </w:t>
      </w:r>
      <w:r w:rsidR="002C559B" w:rsidRPr="00627DA0">
        <w:t>S</w:t>
      </w:r>
      <w:r w:rsidRPr="00627DA0">
        <w:t xml:space="preserve">tate’s EIA </w:t>
      </w:r>
      <w:r w:rsidR="00173199" w:rsidRPr="00627DA0">
        <w:t>defines “qualifying utilities” as those with 25,000 customers</w:t>
      </w:r>
      <w:r w:rsidR="002C5B49" w:rsidRPr="00627DA0">
        <w:t xml:space="preserve"> or more and requires them to achieve all conservation that is cost-effective, </w:t>
      </w:r>
      <w:r w:rsidR="00D47225" w:rsidRPr="00627DA0">
        <w:t xml:space="preserve">reliable, and feasible. Since </w:t>
      </w:r>
      <w:r w:rsidR="0032364D" w:rsidRPr="00627DA0">
        <w:t>Inland Power</w:t>
      </w:r>
      <w:r w:rsidR="00D47225" w:rsidRPr="00627DA0">
        <w:t xml:space="preserve"> serves more than </w:t>
      </w:r>
      <w:r w:rsidR="006D4D3C" w:rsidRPr="00627DA0">
        <w:t>4</w:t>
      </w:r>
      <w:r w:rsidR="00CB6CB5" w:rsidRPr="00627DA0">
        <w:t>4</w:t>
      </w:r>
      <w:r w:rsidR="00AA3265" w:rsidRPr="00627DA0">
        <w:t>,000</w:t>
      </w:r>
      <w:r w:rsidR="00D47225" w:rsidRPr="00627DA0">
        <w:t xml:space="preserve"> customers</w:t>
      </w:r>
      <w:r w:rsidR="006D4D3C" w:rsidRPr="00627DA0">
        <w:t xml:space="preserve"> in Washington</w:t>
      </w:r>
      <w:r w:rsidR="00D47225" w:rsidRPr="00627DA0">
        <w:t xml:space="preserve">, it is required to </w:t>
      </w:r>
      <w:r w:rsidR="002F6879" w:rsidRPr="00627DA0">
        <w:t>comply</w:t>
      </w:r>
      <w:r w:rsidR="00C0256C" w:rsidRPr="00627DA0">
        <w:t xml:space="preserve"> with the EIA</w:t>
      </w:r>
      <w:r w:rsidR="00BC3CB3" w:rsidRPr="00627DA0">
        <w:t>.</w:t>
      </w:r>
      <w:r w:rsidR="00F93B48" w:rsidRPr="00627DA0">
        <w:t xml:space="preserve"> The requirements of the EIA </w:t>
      </w:r>
      <w:r w:rsidR="00840E7F" w:rsidRPr="00627DA0">
        <w:t>specify that all qualifying utilities</w:t>
      </w:r>
      <w:r w:rsidR="004563A0" w:rsidRPr="00627DA0">
        <w:t xml:space="preserve"> complete the following</w:t>
      </w:r>
      <w:r w:rsidR="00A012B0" w:rsidRPr="00627DA0">
        <w:t xml:space="preserve"> by</w:t>
      </w:r>
      <w:r w:rsidR="00D754DC" w:rsidRPr="00627DA0">
        <w:t xml:space="preserve"> January 1</w:t>
      </w:r>
      <w:r w:rsidR="00D754DC" w:rsidRPr="00627DA0">
        <w:rPr>
          <w:vertAlign w:val="superscript"/>
        </w:rPr>
        <w:t>st</w:t>
      </w:r>
      <w:r w:rsidR="00D754DC" w:rsidRPr="00627DA0">
        <w:t xml:space="preserve"> of every even numbered year</w:t>
      </w:r>
      <w:r w:rsidR="004563A0" w:rsidRPr="00627DA0">
        <w:t>:</w:t>
      </w:r>
      <w:r w:rsidR="00E61F27" w:rsidRPr="00627DA0">
        <w:rPr>
          <w:rStyle w:val="FootnoteReference"/>
        </w:rPr>
        <w:footnoteReference w:id="1"/>
      </w:r>
    </w:p>
    <w:p w14:paraId="61DFF1F1" w14:textId="5FAA7941" w:rsidR="004563A0" w:rsidRPr="00627DA0" w:rsidRDefault="00D754DC" w:rsidP="004563A0">
      <w:pPr>
        <w:pStyle w:val="ListParagraph"/>
        <w:numPr>
          <w:ilvl w:val="0"/>
          <w:numId w:val="5"/>
        </w:numPr>
      </w:pPr>
      <w:r w:rsidRPr="00627DA0">
        <w:t>I</w:t>
      </w:r>
      <w:r w:rsidR="004563A0" w:rsidRPr="00627DA0">
        <w:t xml:space="preserve">dentify </w:t>
      </w:r>
      <w:r w:rsidR="00A012B0" w:rsidRPr="00627DA0">
        <w:t xml:space="preserve">the </w:t>
      </w:r>
      <w:r w:rsidR="004563A0" w:rsidRPr="00627DA0">
        <w:t xml:space="preserve">achievable cost-effective conservation potential for the upcoming </w:t>
      </w:r>
      <w:r w:rsidR="00AC67AF" w:rsidRPr="00627DA0">
        <w:t xml:space="preserve">10 </w:t>
      </w:r>
      <w:r w:rsidR="004563A0" w:rsidRPr="00627DA0">
        <w:t xml:space="preserve">years using </w:t>
      </w:r>
      <w:r w:rsidR="00C33E3D" w:rsidRPr="00627DA0">
        <w:t xml:space="preserve">methodologies consistent with the </w:t>
      </w:r>
      <w:r w:rsidR="004A6042" w:rsidRPr="00627DA0">
        <w:t>Council</w:t>
      </w:r>
      <w:r w:rsidR="002A4DF4" w:rsidRPr="00627DA0">
        <w:t>’s</w:t>
      </w:r>
      <w:r w:rsidR="00C33E3D" w:rsidRPr="00627DA0">
        <w:t xml:space="preserve"> latest power plan.</w:t>
      </w:r>
    </w:p>
    <w:p w14:paraId="0716DF87" w14:textId="5887D07D" w:rsidR="00C33E3D" w:rsidRPr="00627DA0" w:rsidRDefault="00D754DC" w:rsidP="004563A0">
      <w:pPr>
        <w:pStyle w:val="ListParagraph"/>
        <w:numPr>
          <w:ilvl w:val="0"/>
          <w:numId w:val="5"/>
        </w:numPr>
      </w:pPr>
      <w:r w:rsidRPr="00627DA0">
        <w:t>E</w:t>
      </w:r>
      <w:r w:rsidR="0086668D" w:rsidRPr="00627DA0">
        <w:t>stablish a biennial acquisition target for cost-effective conservation</w:t>
      </w:r>
      <w:r w:rsidR="00FD789B" w:rsidRPr="00627DA0">
        <w:t xml:space="preserve"> that is no lower than the utility’s pro rata share </w:t>
      </w:r>
      <w:r w:rsidR="009741A0" w:rsidRPr="00627DA0">
        <w:t>for that two-year period of its</w:t>
      </w:r>
      <w:r w:rsidR="00FD789B" w:rsidRPr="00627DA0">
        <w:t xml:space="preserve"> cost-effective conservation potential for the subsequent </w:t>
      </w:r>
      <w:r w:rsidR="006E34EC" w:rsidRPr="00627DA0">
        <w:t xml:space="preserve">10 </w:t>
      </w:r>
      <w:r w:rsidR="00FD789B" w:rsidRPr="00627DA0">
        <w:t>years.</w:t>
      </w:r>
      <w:r w:rsidR="008D0088" w:rsidRPr="00627DA0">
        <w:rPr>
          <w:rStyle w:val="FootnoteReference"/>
        </w:rPr>
        <w:footnoteReference w:id="2"/>
      </w:r>
      <w:r w:rsidR="00FD789B" w:rsidRPr="00627DA0">
        <w:t xml:space="preserve"> </w:t>
      </w:r>
    </w:p>
    <w:p w14:paraId="1D394EAF" w14:textId="369B182C" w:rsidR="00815DBD" w:rsidRPr="00627DA0" w:rsidRDefault="006823F8" w:rsidP="000600E5">
      <w:r w:rsidRPr="00627DA0">
        <w:t xml:space="preserve">Appendix </w:t>
      </w:r>
      <w:r w:rsidR="0096636E" w:rsidRPr="00627DA0">
        <w:t>III</w:t>
      </w:r>
      <w:r w:rsidRPr="00627DA0">
        <w:t xml:space="preserve"> </w:t>
      </w:r>
      <w:r w:rsidR="00321F0D" w:rsidRPr="00627DA0">
        <w:t xml:space="preserve">further details </w:t>
      </w:r>
      <w:r w:rsidR="00783219" w:rsidRPr="00627DA0">
        <w:t xml:space="preserve">how this assessment complies with each of </w:t>
      </w:r>
      <w:r w:rsidR="00321F0D" w:rsidRPr="00627DA0">
        <w:t xml:space="preserve">the requirements specified </w:t>
      </w:r>
      <w:r w:rsidR="00653727" w:rsidRPr="00627DA0">
        <w:t>by Washington’s EIA</w:t>
      </w:r>
      <w:r w:rsidR="00E140F3" w:rsidRPr="00627DA0">
        <w:t>.</w:t>
      </w:r>
    </w:p>
    <w:p w14:paraId="148741D4" w14:textId="006BADC8" w:rsidR="00517EFC" w:rsidRPr="00627DA0" w:rsidRDefault="00517EFC" w:rsidP="00517EFC">
      <w:pPr>
        <w:pStyle w:val="Heading2"/>
      </w:pPr>
      <w:bookmarkStart w:id="31" w:name="_Toc207870657"/>
      <w:r w:rsidRPr="00627DA0">
        <w:t>Study Uncertainties</w:t>
      </w:r>
      <w:bookmarkEnd w:id="31"/>
    </w:p>
    <w:p w14:paraId="3DF67BEB" w14:textId="5D1C451A" w:rsidR="00517EFC" w:rsidRPr="00627DA0" w:rsidRDefault="004517EB" w:rsidP="00517EFC">
      <w:r w:rsidRPr="00627DA0">
        <w:t xml:space="preserve">There are uncertainties inherent in any long-term planning effort. </w:t>
      </w:r>
      <w:r w:rsidR="00E110B0" w:rsidRPr="00627DA0">
        <w:t>While th</w:t>
      </w:r>
      <w:r w:rsidR="008476D2" w:rsidRPr="00627DA0">
        <w:t>is</w:t>
      </w:r>
      <w:r w:rsidR="00E110B0" w:rsidRPr="00627DA0">
        <w:t xml:space="preserve"> </w:t>
      </w:r>
      <w:r w:rsidR="008476D2" w:rsidRPr="00627DA0">
        <w:t>assessment</w:t>
      </w:r>
      <w:r w:rsidR="00E110B0" w:rsidRPr="00627DA0">
        <w:t xml:space="preserve"> makes use of the latest forecasts of customer</w:t>
      </w:r>
      <w:r w:rsidR="00222B21" w:rsidRPr="00627DA0">
        <w:t xml:space="preserve">s and loads, </w:t>
      </w:r>
      <w:r w:rsidR="00DC66A2" w:rsidRPr="00627DA0">
        <w:t xml:space="preserve">it is still subject to </w:t>
      </w:r>
      <w:r w:rsidR="003C4F8E" w:rsidRPr="00627DA0">
        <w:t>remaining uncertainties</w:t>
      </w:r>
      <w:r w:rsidR="00DB2012" w:rsidRPr="00627DA0">
        <w:t xml:space="preserve"> and limitations</w:t>
      </w:r>
      <w:r w:rsidR="005B5F2E" w:rsidRPr="00627DA0">
        <w:t xml:space="preserve">. </w:t>
      </w:r>
      <w:r w:rsidR="009A5052" w:rsidRPr="00627DA0">
        <w:t>These uncertainties include, but are not limited to:</w:t>
      </w:r>
    </w:p>
    <w:p w14:paraId="09DD89A0" w14:textId="1FC1916D" w:rsidR="009A5052" w:rsidRPr="00627DA0" w:rsidRDefault="009A5052" w:rsidP="009A5052">
      <w:pPr>
        <w:pStyle w:val="ListParagraph"/>
        <w:numPr>
          <w:ilvl w:val="0"/>
          <w:numId w:val="6"/>
        </w:numPr>
      </w:pPr>
      <w:r w:rsidRPr="00627DA0">
        <w:rPr>
          <w:u w:val="single"/>
        </w:rPr>
        <w:t xml:space="preserve">Customer </w:t>
      </w:r>
      <w:r w:rsidR="00275A85" w:rsidRPr="00627DA0">
        <w:rPr>
          <w:u w:val="single"/>
        </w:rPr>
        <w:t>C</w:t>
      </w:r>
      <w:r w:rsidRPr="00627DA0">
        <w:rPr>
          <w:u w:val="single"/>
        </w:rPr>
        <w:t xml:space="preserve">haracteristic </w:t>
      </w:r>
      <w:r w:rsidR="00275A85" w:rsidRPr="00627DA0">
        <w:rPr>
          <w:u w:val="single"/>
        </w:rPr>
        <w:t>D</w:t>
      </w:r>
      <w:r w:rsidRPr="00627DA0">
        <w:rPr>
          <w:u w:val="single"/>
        </w:rPr>
        <w:t>ata</w:t>
      </w:r>
      <w:r w:rsidR="0045005A" w:rsidRPr="00627DA0">
        <w:t xml:space="preserve">: </w:t>
      </w:r>
      <w:r w:rsidR="00B66581" w:rsidRPr="00627DA0">
        <w:t xml:space="preserve">This assessment </w:t>
      </w:r>
      <w:r w:rsidR="00EA0933" w:rsidRPr="00627DA0">
        <w:t xml:space="preserve">used the best available data to reflect </w:t>
      </w:r>
      <w:r w:rsidR="0032364D" w:rsidRPr="00627DA0">
        <w:t>Inland Power</w:t>
      </w:r>
      <w:r w:rsidR="00EA0933" w:rsidRPr="00627DA0">
        <w:t xml:space="preserve">’s customers. In </w:t>
      </w:r>
      <w:r w:rsidR="00667412" w:rsidRPr="00627DA0">
        <w:t>some cases, however, the</w:t>
      </w:r>
      <w:r w:rsidR="00861C12" w:rsidRPr="00627DA0">
        <w:t xml:space="preserve"> </w:t>
      </w:r>
      <w:r w:rsidR="000B51F7" w:rsidRPr="00627DA0">
        <w:t xml:space="preserve">assessment relied upon data </w:t>
      </w:r>
      <w:r w:rsidR="000B51F7" w:rsidRPr="00627DA0">
        <w:lastRenderedPageBreak/>
        <w:t xml:space="preserve">beyond </w:t>
      </w:r>
      <w:r w:rsidR="0032364D" w:rsidRPr="00627DA0">
        <w:t>Inland Power</w:t>
      </w:r>
      <w:r w:rsidR="00B92F71" w:rsidRPr="00627DA0">
        <w:t xml:space="preserve">’s service territory due to limitations of </w:t>
      </w:r>
      <w:r w:rsidR="00B81E87" w:rsidRPr="00627DA0">
        <w:t xml:space="preserve">adequate </w:t>
      </w:r>
      <w:r w:rsidR="00B92F71" w:rsidRPr="00627DA0">
        <w:t>sample sizes. There are uncertainties</w:t>
      </w:r>
      <w:r w:rsidR="0075074E" w:rsidRPr="00627DA0">
        <w:t xml:space="preserve">, therefore, related to the extent that this data is reflective of </w:t>
      </w:r>
      <w:r w:rsidR="0032364D" w:rsidRPr="00627DA0">
        <w:t>Inland Power</w:t>
      </w:r>
      <w:r w:rsidR="0075074E" w:rsidRPr="00627DA0">
        <w:t xml:space="preserve">’s </w:t>
      </w:r>
      <w:r w:rsidR="00B81E87" w:rsidRPr="00627DA0">
        <w:t>customer base.</w:t>
      </w:r>
    </w:p>
    <w:p w14:paraId="36BDA44D" w14:textId="36FAB2B6" w:rsidR="00815DBD" w:rsidRPr="00627DA0" w:rsidRDefault="00B81E87" w:rsidP="0087583C">
      <w:pPr>
        <w:pStyle w:val="ListParagraph"/>
        <w:numPr>
          <w:ilvl w:val="0"/>
          <w:numId w:val="6"/>
        </w:numPr>
      </w:pPr>
      <w:r w:rsidRPr="00627DA0">
        <w:rPr>
          <w:u w:val="single"/>
        </w:rPr>
        <w:t>Measure Data</w:t>
      </w:r>
      <w:r w:rsidR="00523F42" w:rsidRPr="00627DA0">
        <w:t>: Measure savings and cost</w:t>
      </w:r>
      <w:r w:rsidR="004A6042" w:rsidRPr="00627DA0">
        <w:t xml:space="preserve"> estimates are based on values prepared by the Council and RTF. </w:t>
      </w:r>
      <w:r w:rsidR="00F826CF" w:rsidRPr="00627DA0">
        <w:t xml:space="preserve">These estimates will vary across the region </w:t>
      </w:r>
      <w:r w:rsidR="00C248BF" w:rsidRPr="00627DA0">
        <w:t xml:space="preserve">due to local climate </w:t>
      </w:r>
      <w:r w:rsidR="00F23B21" w:rsidRPr="00627DA0">
        <w:t xml:space="preserve">variations </w:t>
      </w:r>
      <w:r w:rsidR="00C248BF" w:rsidRPr="00627DA0">
        <w:t>and market conditions.</w:t>
      </w:r>
      <w:r w:rsidR="00396F50" w:rsidRPr="00627DA0">
        <w:t xml:space="preserve"> Additionally, </w:t>
      </w:r>
      <w:r w:rsidR="000D374C" w:rsidRPr="00627DA0">
        <w:t>some measure inputs such as applicability are based on limited data or professional judgement.</w:t>
      </w:r>
    </w:p>
    <w:p w14:paraId="62D4A978" w14:textId="774F75AD" w:rsidR="00091E0C" w:rsidRPr="00627DA0" w:rsidRDefault="00091E0C" w:rsidP="00091E0C">
      <w:pPr>
        <w:pStyle w:val="ListParagraph"/>
        <w:numPr>
          <w:ilvl w:val="0"/>
          <w:numId w:val="6"/>
        </w:numPr>
      </w:pPr>
      <w:r w:rsidRPr="00627DA0">
        <w:rPr>
          <w:u w:val="single"/>
        </w:rPr>
        <w:t>Market Price Forecasts</w:t>
      </w:r>
      <w:r w:rsidRPr="00627DA0">
        <w:t xml:space="preserve">: This assessment uses an updated market price forecast developed in </w:t>
      </w:r>
      <w:r w:rsidR="009A26C9" w:rsidRPr="00627DA0">
        <w:t>July</w:t>
      </w:r>
      <w:r w:rsidRPr="00627DA0">
        <w:t xml:space="preserve"> of 202</w:t>
      </w:r>
      <w:r w:rsidR="00F424D3" w:rsidRPr="00627DA0">
        <w:t>5</w:t>
      </w:r>
      <w:r w:rsidRPr="00627DA0">
        <w:t xml:space="preserve">. While this is an up-to-date forecast, market prices and forecasts are continually changing. </w:t>
      </w:r>
    </w:p>
    <w:p w14:paraId="2A2C9EA2" w14:textId="4A3345FD" w:rsidR="00EC104F" w:rsidRPr="00627DA0" w:rsidRDefault="00EC104F" w:rsidP="0087583C">
      <w:pPr>
        <w:pStyle w:val="ListParagraph"/>
        <w:numPr>
          <w:ilvl w:val="0"/>
          <w:numId w:val="6"/>
        </w:numPr>
      </w:pPr>
      <w:r w:rsidRPr="00627DA0">
        <w:rPr>
          <w:u w:val="single"/>
        </w:rPr>
        <w:t>Utility System Assumptions</w:t>
      </w:r>
      <w:r w:rsidRPr="00627DA0">
        <w:t xml:space="preserve">: </w:t>
      </w:r>
      <w:r w:rsidR="0084553B" w:rsidRPr="00627DA0">
        <w:t xml:space="preserve">Measures in this CPA </w:t>
      </w:r>
      <w:r w:rsidR="008F1FC2" w:rsidRPr="00627DA0">
        <w:t>receive</w:t>
      </w:r>
      <w:r w:rsidR="0084553B" w:rsidRPr="00627DA0">
        <w:t xml:space="preserve"> cost credits based on their </w:t>
      </w:r>
      <w:r w:rsidR="00382CBF" w:rsidRPr="00627DA0">
        <w:t xml:space="preserve">ability to </w:t>
      </w:r>
      <w:r w:rsidR="004638BD" w:rsidRPr="00627DA0">
        <w:t>free up</w:t>
      </w:r>
      <w:r w:rsidR="00382CBF" w:rsidRPr="00627DA0">
        <w:t xml:space="preserve"> transmission and distribution system capacity</w:t>
      </w:r>
      <w:r w:rsidR="006A3782" w:rsidRPr="00627DA0">
        <w:t xml:space="preserve">. The actual value of these credits is dependent on local </w:t>
      </w:r>
      <w:r w:rsidR="00C21EE2" w:rsidRPr="00627DA0">
        <w:t>conditions,</w:t>
      </w:r>
      <w:r w:rsidR="00A40384" w:rsidRPr="00627DA0">
        <w:t xml:space="preserve"> which vary across </w:t>
      </w:r>
      <w:r w:rsidR="0032364D" w:rsidRPr="00627DA0">
        <w:t>Inland Power</w:t>
      </w:r>
      <w:r w:rsidR="00A40384" w:rsidRPr="00627DA0">
        <w:t>’s service territory</w:t>
      </w:r>
      <w:r w:rsidR="00913C5E" w:rsidRPr="00627DA0">
        <w:t>.</w:t>
      </w:r>
    </w:p>
    <w:p w14:paraId="390B02AC" w14:textId="34854A1F" w:rsidR="00D32B1B" w:rsidRPr="00627DA0" w:rsidRDefault="00AC4633" w:rsidP="003B3509">
      <w:pPr>
        <w:pStyle w:val="ListParagraph"/>
        <w:numPr>
          <w:ilvl w:val="0"/>
          <w:numId w:val="6"/>
        </w:numPr>
      </w:pPr>
      <w:r w:rsidRPr="00627DA0">
        <w:rPr>
          <w:u w:val="single"/>
        </w:rPr>
        <w:t>Load and Customer Growth Forecasts</w:t>
      </w:r>
      <w:r w:rsidRPr="00627DA0">
        <w:t xml:space="preserve">: </w:t>
      </w:r>
      <w:r w:rsidR="00864D95" w:rsidRPr="00627DA0">
        <w:t xml:space="preserve">This CPA </w:t>
      </w:r>
      <w:r w:rsidR="00D332C1" w:rsidRPr="00627DA0">
        <w:t>use</w:t>
      </w:r>
      <w:r w:rsidR="008F1FC2" w:rsidRPr="00627DA0">
        <w:t>s</w:t>
      </w:r>
      <w:r w:rsidR="00D332C1" w:rsidRPr="00627DA0">
        <w:t xml:space="preserve"> </w:t>
      </w:r>
      <w:r w:rsidR="00864D95" w:rsidRPr="00627DA0">
        <w:t>project</w:t>
      </w:r>
      <w:r w:rsidR="00D332C1" w:rsidRPr="00627DA0">
        <w:t>ions of</w:t>
      </w:r>
      <w:r w:rsidR="00864D95" w:rsidRPr="00627DA0">
        <w:t xml:space="preserve"> future customer </w:t>
      </w:r>
      <w:r w:rsidR="00D332C1" w:rsidRPr="00627DA0">
        <w:t xml:space="preserve">and load </w:t>
      </w:r>
      <w:r w:rsidR="00864D95" w:rsidRPr="00627DA0">
        <w:t xml:space="preserve">growth </w:t>
      </w:r>
      <w:r w:rsidR="00AB2BB7" w:rsidRPr="00627DA0">
        <w:t xml:space="preserve">over a </w:t>
      </w:r>
      <w:r w:rsidR="00864D95" w:rsidRPr="00627DA0">
        <w:t>2</w:t>
      </w:r>
      <w:r w:rsidR="00C35E6D" w:rsidRPr="00627DA0">
        <w:t>0</w:t>
      </w:r>
      <w:r w:rsidR="00864D95" w:rsidRPr="00627DA0">
        <w:t xml:space="preserve">-year </w:t>
      </w:r>
      <w:r w:rsidR="00AB2BB7" w:rsidRPr="00627DA0">
        <w:t>period</w:t>
      </w:r>
      <w:r w:rsidR="00C43EB7" w:rsidRPr="00627DA0">
        <w:t xml:space="preserve">. </w:t>
      </w:r>
      <w:r w:rsidR="00846971" w:rsidRPr="00627DA0">
        <w:t xml:space="preserve">Any forecast over a similar time period will include a significant level of uncertainty. </w:t>
      </w:r>
    </w:p>
    <w:p w14:paraId="71B2C1A7" w14:textId="786B98E7" w:rsidR="00213B0C" w:rsidRPr="00627DA0" w:rsidRDefault="003B3509" w:rsidP="0072354F">
      <w:pPr>
        <w:pStyle w:val="ListParagraph"/>
        <w:numPr>
          <w:ilvl w:val="0"/>
          <w:numId w:val="6"/>
        </w:numPr>
      </w:pPr>
      <w:r w:rsidRPr="00627DA0">
        <w:rPr>
          <w:u w:val="single"/>
        </w:rPr>
        <w:t>Policy Change</w:t>
      </w:r>
      <w:r w:rsidR="00FB0333" w:rsidRPr="00627DA0">
        <w:rPr>
          <w:u w:val="single"/>
        </w:rPr>
        <w:t>s</w:t>
      </w:r>
      <w:r w:rsidRPr="00627DA0">
        <w:t xml:space="preserve">: The CPA </w:t>
      </w:r>
      <w:r w:rsidR="00FB0333" w:rsidRPr="00627DA0">
        <w:t>reflect</w:t>
      </w:r>
      <w:r w:rsidRPr="00627DA0">
        <w:t>s policies currently in effect</w:t>
      </w:r>
      <w:r w:rsidR="00F46E83" w:rsidRPr="00627DA0">
        <w:t xml:space="preserve"> at the time of its development. </w:t>
      </w:r>
      <w:r w:rsidR="009759A4" w:rsidRPr="00627DA0">
        <w:t>Future changes to the policy environment are difficult to predict and could lead to significant changes to loads, cost effectiveness of measures, or other study outcomes.</w:t>
      </w:r>
    </w:p>
    <w:p w14:paraId="71E6FFB6" w14:textId="0A080BA0" w:rsidR="00B41E55" w:rsidRPr="00627DA0" w:rsidRDefault="00B41E55" w:rsidP="00213B0C">
      <w:r w:rsidRPr="00627DA0">
        <w:t xml:space="preserve">Due to these uncertainties and the continually changing planning environment, the EIA requires </w:t>
      </w:r>
      <w:r w:rsidR="003E45F5" w:rsidRPr="00627DA0">
        <w:t>qualifying utilities to update their CPAs every two years to reflect the best available data</w:t>
      </w:r>
      <w:r w:rsidR="00F1496A" w:rsidRPr="00627DA0">
        <w:t xml:space="preserve"> and latest market conditions</w:t>
      </w:r>
      <w:r w:rsidR="003E45F5" w:rsidRPr="00627DA0">
        <w:t>.</w:t>
      </w:r>
    </w:p>
    <w:p w14:paraId="4348998C" w14:textId="08749D59" w:rsidR="003E45F5" w:rsidRPr="00627DA0" w:rsidRDefault="00206A23" w:rsidP="003E45F5">
      <w:pPr>
        <w:pStyle w:val="Heading2"/>
      </w:pPr>
      <w:bookmarkStart w:id="32" w:name="_Toc207870658"/>
      <w:r w:rsidRPr="00627DA0">
        <w:t>Report Organization</w:t>
      </w:r>
      <w:bookmarkEnd w:id="32"/>
    </w:p>
    <w:p w14:paraId="7CC51EF1" w14:textId="7914EAE6" w:rsidR="00206A23" w:rsidRPr="00627DA0" w:rsidRDefault="00206A23" w:rsidP="00206A23">
      <w:r w:rsidRPr="00627DA0">
        <w:t>The remainder of th</w:t>
      </w:r>
      <w:r w:rsidR="00D00326" w:rsidRPr="00627DA0">
        <w:t>is</w:t>
      </w:r>
      <w:r w:rsidRPr="00627DA0">
        <w:t xml:space="preserve"> report is organized into the following sections:</w:t>
      </w:r>
    </w:p>
    <w:p w14:paraId="134DEDEC" w14:textId="6F5B27A8" w:rsidR="00206A23" w:rsidRPr="00627DA0" w:rsidRDefault="00C41F89" w:rsidP="00206A23">
      <w:pPr>
        <w:pStyle w:val="ListParagraph"/>
        <w:numPr>
          <w:ilvl w:val="0"/>
          <w:numId w:val="7"/>
        </w:numPr>
      </w:pPr>
      <w:r w:rsidRPr="00627DA0">
        <w:t>Methodology</w:t>
      </w:r>
    </w:p>
    <w:p w14:paraId="53077089" w14:textId="77777777" w:rsidR="00F14768" w:rsidRPr="00627DA0" w:rsidRDefault="00F14768" w:rsidP="00F14768">
      <w:pPr>
        <w:pStyle w:val="ListParagraph"/>
        <w:numPr>
          <w:ilvl w:val="0"/>
          <w:numId w:val="7"/>
        </w:numPr>
      </w:pPr>
      <w:r w:rsidRPr="00627DA0">
        <w:t>Customer Characteristics</w:t>
      </w:r>
    </w:p>
    <w:p w14:paraId="304D4D40" w14:textId="2DA4A4D8" w:rsidR="00574CD8" w:rsidRPr="00627DA0" w:rsidRDefault="002B3FC6" w:rsidP="00206A23">
      <w:pPr>
        <w:pStyle w:val="ListParagraph"/>
        <w:numPr>
          <w:ilvl w:val="0"/>
          <w:numId w:val="7"/>
        </w:numPr>
      </w:pPr>
      <w:r w:rsidRPr="00627DA0">
        <w:t xml:space="preserve">Recent </w:t>
      </w:r>
      <w:r w:rsidR="00574CD8" w:rsidRPr="00627DA0">
        <w:t>Conservation Achievement</w:t>
      </w:r>
    </w:p>
    <w:p w14:paraId="4D9D0D5A" w14:textId="170D3CF6" w:rsidR="00A22586" w:rsidRPr="00627DA0" w:rsidRDefault="00A22586" w:rsidP="00206A23">
      <w:pPr>
        <w:pStyle w:val="ListParagraph"/>
        <w:numPr>
          <w:ilvl w:val="0"/>
          <w:numId w:val="7"/>
        </w:numPr>
      </w:pPr>
      <w:r w:rsidRPr="00627DA0">
        <w:t>Results</w:t>
      </w:r>
    </w:p>
    <w:p w14:paraId="71E8769E" w14:textId="5CA17681" w:rsidR="00AE68E3" w:rsidRPr="00627DA0" w:rsidRDefault="00EE2330" w:rsidP="00206A23">
      <w:pPr>
        <w:pStyle w:val="ListParagraph"/>
        <w:numPr>
          <w:ilvl w:val="0"/>
          <w:numId w:val="7"/>
        </w:numPr>
      </w:pPr>
      <w:r w:rsidRPr="00627DA0">
        <w:t>S</w:t>
      </w:r>
      <w:r w:rsidR="002B3FC6" w:rsidRPr="00627DA0">
        <w:t xml:space="preserve">ensitivity </w:t>
      </w:r>
      <w:r w:rsidRPr="00627DA0">
        <w:t>Results</w:t>
      </w:r>
    </w:p>
    <w:p w14:paraId="3B7976D8" w14:textId="3F9A008B" w:rsidR="00EE2330" w:rsidRPr="00627DA0" w:rsidRDefault="00EE2330" w:rsidP="00206A23">
      <w:pPr>
        <w:pStyle w:val="ListParagraph"/>
        <w:numPr>
          <w:ilvl w:val="0"/>
          <w:numId w:val="7"/>
        </w:numPr>
      </w:pPr>
      <w:r w:rsidRPr="00627DA0">
        <w:t>Summary</w:t>
      </w:r>
    </w:p>
    <w:p w14:paraId="1213A32D" w14:textId="04C3ACF5" w:rsidR="00EE2330" w:rsidRPr="00627DA0" w:rsidRDefault="00EE2330" w:rsidP="00206A23">
      <w:pPr>
        <w:pStyle w:val="ListParagraph"/>
        <w:numPr>
          <w:ilvl w:val="0"/>
          <w:numId w:val="7"/>
        </w:numPr>
      </w:pPr>
      <w:r w:rsidRPr="00627DA0">
        <w:t>References &amp; Appendices</w:t>
      </w:r>
    </w:p>
    <w:p w14:paraId="6C01293B" w14:textId="61CEDBC3" w:rsidR="00EE2330" w:rsidRPr="00627DA0" w:rsidRDefault="00EE2330">
      <w:r w:rsidRPr="00627DA0">
        <w:br w:type="page"/>
      </w:r>
    </w:p>
    <w:p w14:paraId="57D1C0D9" w14:textId="2BF8500B" w:rsidR="00815DBD" w:rsidRPr="00627DA0" w:rsidRDefault="00886F14" w:rsidP="00886F14">
      <w:pPr>
        <w:pStyle w:val="Heading1"/>
      </w:pPr>
      <w:bookmarkStart w:id="33" w:name="_Toc207870659"/>
      <w:r w:rsidRPr="00627DA0">
        <w:lastRenderedPageBreak/>
        <w:t>Methodology</w:t>
      </w:r>
      <w:bookmarkEnd w:id="33"/>
    </w:p>
    <w:p w14:paraId="702389EA" w14:textId="1BD2E607" w:rsidR="00886F14" w:rsidRPr="00627DA0" w:rsidRDefault="0073273C" w:rsidP="00886F14">
      <w:r w:rsidRPr="00627DA0">
        <w:t xml:space="preserve">This section </w:t>
      </w:r>
      <w:r w:rsidR="00BB5AEA" w:rsidRPr="00627DA0">
        <w:t xml:space="preserve">provides an overview of the methodology used to develop the estimate </w:t>
      </w:r>
      <w:r w:rsidR="00EC0848" w:rsidRPr="00627DA0">
        <w:t xml:space="preserve">of </w:t>
      </w:r>
      <w:r w:rsidR="006754DE" w:rsidRPr="00627DA0">
        <w:t>cost-effective</w:t>
      </w:r>
      <w:r w:rsidR="00E57141" w:rsidRPr="00627DA0">
        <w:t xml:space="preserve"> </w:t>
      </w:r>
      <w:r w:rsidR="00CC5995" w:rsidRPr="00627DA0">
        <w:t xml:space="preserve">conservation </w:t>
      </w:r>
      <w:r w:rsidR="00EC0848" w:rsidRPr="00627DA0">
        <w:t>potential</w:t>
      </w:r>
      <w:r w:rsidR="00CC5995" w:rsidRPr="00627DA0">
        <w:t xml:space="preserve"> for </w:t>
      </w:r>
      <w:r w:rsidR="0032364D" w:rsidRPr="00627DA0">
        <w:t>Inland Power</w:t>
      </w:r>
      <w:r w:rsidR="00EC0848" w:rsidRPr="00627DA0">
        <w:t xml:space="preserve">. </w:t>
      </w:r>
    </w:p>
    <w:p w14:paraId="3D7BFDEB" w14:textId="5481D888" w:rsidR="00F55D69" w:rsidRPr="00627DA0" w:rsidRDefault="00183223" w:rsidP="00886F14">
      <w:r w:rsidRPr="00627DA0">
        <w:t xml:space="preserve">Washington’s </w:t>
      </w:r>
      <w:r w:rsidR="0018775E" w:rsidRPr="00627DA0">
        <w:t>r</w:t>
      </w:r>
      <w:r w:rsidR="000714D7" w:rsidRPr="00627DA0">
        <w:t>equirements for CPA</w:t>
      </w:r>
      <w:r w:rsidR="0018775E" w:rsidRPr="00627DA0">
        <w:t>s</w:t>
      </w:r>
      <w:r w:rsidR="000714D7" w:rsidRPr="00627DA0">
        <w:t xml:space="preserve"> are </w:t>
      </w:r>
      <w:r w:rsidRPr="00627DA0">
        <w:t>spelled</w:t>
      </w:r>
      <w:r w:rsidR="000714D7" w:rsidRPr="00627DA0">
        <w:t xml:space="preserve"> out in RCW 19.285.040 and WAC 194-37-070</w:t>
      </w:r>
      <w:r w:rsidR="00DF569F" w:rsidRPr="00627DA0">
        <w:t xml:space="preserve">, Section 5 parts (a) through (d). </w:t>
      </w:r>
      <w:r w:rsidR="00835D74" w:rsidRPr="00627DA0">
        <w:t>Additional requirements are specified in the rules of Washington’s CETA</w:t>
      </w:r>
      <w:r w:rsidR="00CC5995" w:rsidRPr="00627DA0">
        <w:t xml:space="preserve">. </w:t>
      </w:r>
      <w:r w:rsidR="00C03DD9" w:rsidRPr="00627DA0">
        <w:t>Th</w:t>
      </w:r>
      <w:r w:rsidR="00DB5132" w:rsidRPr="00627DA0">
        <w:t xml:space="preserve">e </w:t>
      </w:r>
      <w:r w:rsidR="00C03DD9" w:rsidRPr="00627DA0">
        <w:t>methodology used to produce this assessment</w:t>
      </w:r>
      <w:r w:rsidR="00706E33" w:rsidRPr="00627DA0">
        <w:t xml:space="preserve"> </w:t>
      </w:r>
      <w:r w:rsidR="00F63BF8" w:rsidRPr="00627DA0">
        <w:t xml:space="preserve">is consistent with these </w:t>
      </w:r>
      <w:r w:rsidR="000870A1" w:rsidRPr="00627DA0">
        <w:t>requirements</w:t>
      </w:r>
      <w:r w:rsidR="00DB5132" w:rsidRPr="00627DA0">
        <w:t xml:space="preserve"> and</w:t>
      </w:r>
      <w:r w:rsidR="00A1287C" w:rsidRPr="00627DA0">
        <w:t xml:space="preserve"> </w:t>
      </w:r>
      <w:r w:rsidR="00F63BF8" w:rsidRPr="00627DA0">
        <w:t>follows much of the methodology used by the Council in developing i</w:t>
      </w:r>
      <w:r w:rsidR="00646841" w:rsidRPr="00627DA0">
        <w:t>ts regional power plans, including the</w:t>
      </w:r>
      <w:r w:rsidR="00860DA9" w:rsidRPr="00627DA0">
        <w:t xml:space="preserve"> </w:t>
      </w:r>
      <w:r w:rsidR="00585F3F" w:rsidRPr="00627DA0">
        <w:t>2021 Power</w:t>
      </w:r>
      <w:r w:rsidR="001C548A" w:rsidRPr="00627DA0">
        <w:t xml:space="preserve"> Plan</w:t>
      </w:r>
      <w:r w:rsidR="00646841" w:rsidRPr="00627DA0">
        <w:t>.</w:t>
      </w:r>
    </w:p>
    <w:p w14:paraId="277DBB26" w14:textId="48F4CA76" w:rsidR="000714D7" w:rsidRPr="00627DA0" w:rsidRDefault="00646841" w:rsidP="00886F14">
      <w:r w:rsidRPr="00627DA0">
        <w:t xml:space="preserve">Appendix </w:t>
      </w:r>
      <w:r w:rsidR="002661C1" w:rsidRPr="00627DA0">
        <w:t>III</w:t>
      </w:r>
      <w:r w:rsidRPr="00627DA0">
        <w:t xml:space="preserve"> provides a detailed breakdown of the requirements of the EIA and how this assessment complies with those </w:t>
      </w:r>
      <w:r w:rsidR="007622C3" w:rsidRPr="00627DA0">
        <w:t>requirements</w:t>
      </w:r>
      <w:r w:rsidRPr="00627DA0">
        <w:t xml:space="preserve">. </w:t>
      </w:r>
    </w:p>
    <w:p w14:paraId="30EEBE65" w14:textId="22943B54" w:rsidR="00F55D69" w:rsidRPr="00627DA0" w:rsidRDefault="00E95DF6" w:rsidP="00F55D69">
      <w:pPr>
        <w:pStyle w:val="Heading2"/>
      </w:pPr>
      <w:bookmarkStart w:id="34" w:name="_Toc207870660"/>
      <w:r w:rsidRPr="00627DA0">
        <w:t>High-</w:t>
      </w:r>
      <w:r w:rsidR="00860DA9" w:rsidRPr="00627DA0">
        <w:t>l</w:t>
      </w:r>
      <w:r w:rsidRPr="00627DA0">
        <w:t>evel</w:t>
      </w:r>
      <w:r w:rsidR="00F55D69" w:rsidRPr="00627DA0">
        <w:t xml:space="preserve"> Methodology</w:t>
      </w:r>
      <w:bookmarkEnd w:id="34"/>
    </w:p>
    <w:p w14:paraId="6260C55E" w14:textId="12605FFF" w:rsidR="00F55D69" w:rsidRPr="00627DA0" w:rsidRDefault="00F55D69" w:rsidP="00F55D69">
      <w:r w:rsidRPr="00627DA0">
        <w:t xml:space="preserve">The methodology used for this assessment is illustrated in </w:t>
      </w:r>
      <w:r w:rsidR="00B1765D" w:rsidRPr="00627DA0">
        <w:fldChar w:fldCharType="begin"/>
      </w:r>
      <w:r w:rsidR="00B1765D" w:rsidRPr="00627DA0">
        <w:instrText xml:space="preserve"> REF _Ref48563486 \h </w:instrText>
      </w:r>
      <w:r w:rsidR="00B1765D" w:rsidRPr="00627DA0">
        <w:fldChar w:fldCharType="separate"/>
      </w:r>
      <w:r w:rsidR="00431297" w:rsidRPr="00627DA0">
        <w:t>Figure 5</w:t>
      </w:r>
      <w:r w:rsidR="00B1765D" w:rsidRPr="00627DA0">
        <w:fldChar w:fldCharType="end"/>
      </w:r>
      <w:r w:rsidRPr="00627DA0">
        <w:t xml:space="preserve">. </w:t>
      </w:r>
      <w:r w:rsidR="00B85BA1" w:rsidRPr="00627DA0">
        <w:t>At a high level, the process combines data on individual energy efficiency measures</w:t>
      </w:r>
      <w:r w:rsidR="00DF58B5" w:rsidRPr="00627DA0">
        <w:t xml:space="preserve"> and </w:t>
      </w:r>
      <w:r w:rsidR="00B6388F" w:rsidRPr="00627DA0">
        <w:t>economic</w:t>
      </w:r>
      <w:r w:rsidR="00DF58B5" w:rsidRPr="00627DA0">
        <w:t xml:space="preserve"> assumptions</w:t>
      </w:r>
      <w:r w:rsidR="00B85BA1" w:rsidRPr="00627DA0">
        <w:t xml:space="preserve"> </w:t>
      </w:r>
      <w:r w:rsidR="009251E6" w:rsidRPr="00627DA0">
        <w:t xml:space="preserve">using the Council’s ProCost tool. </w:t>
      </w:r>
      <w:r w:rsidR="00317D80" w:rsidRPr="00627DA0">
        <w:t xml:space="preserve">This tool calculates a benefit-cost ratio using the Total Resource Cost (TRC) test, which is used to determine whether a measure is cost-effective. The TRC test considers all of the costs and benefits of energy efficiency measures, regardless of who receives the benefit or pays the cost. </w:t>
      </w:r>
      <w:r w:rsidR="00251574" w:rsidRPr="00627DA0">
        <w:t xml:space="preserve">The measure savings and economics are then combined </w:t>
      </w:r>
      <w:r w:rsidR="00B85BA1" w:rsidRPr="00627DA0">
        <w:t xml:space="preserve">with customer data </w:t>
      </w:r>
      <w:r w:rsidR="00DF57FB" w:rsidRPr="00627DA0">
        <w:t xml:space="preserve">in Lighthouse’s CPA model, which quantifies </w:t>
      </w:r>
      <w:r w:rsidR="00B85BA1" w:rsidRPr="00627DA0">
        <w:t xml:space="preserve">the number of remaining implementation opportunities. </w:t>
      </w:r>
      <w:r w:rsidR="0087583C" w:rsidRPr="00627DA0">
        <w:t xml:space="preserve">The </w:t>
      </w:r>
      <w:r w:rsidR="00A1243D" w:rsidRPr="00627DA0">
        <w:t xml:space="preserve">CPA model aggregates the </w:t>
      </w:r>
      <w:r w:rsidR="0087583C" w:rsidRPr="00627DA0">
        <w:t>savings associated with each of these opport</w:t>
      </w:r>
      <w:r w:rsidR="000412BA" w:rsidRPr="00627DA0">
        <w:t>unities to determine the overall potential.</w:t>
      </w:r>
    </w:p>
    <w:p w14:paraId="6C74EA42" w14:textId="1B008BF5" w:rsidR="00815DBD" w:rsidRPr="00627DA0" w:rsidRDefault="00F55D69" w:rsidP="00AE1731">
      <w:pPr>
        <w:pStyle w:val="Caption"/>
      </w:pPr>
      <w:bookmarkStart w:id="35" w:name="_Ref48563486"/>
      <w:bookmarkStart w:id="36" w:name="_Toc207870704"/>
      <w:r w:rsidRPr="00627DA0">
        <w:t xml:space="preserve">Figure </w:t>
      </w:r>
      <w:fldSimple w:instr=" SEQ Figure \* ARABIC ">
        <w:r w:rsidR="00431297" w:rsidRPr="00627DA0">
          <w:t>5</w:t>
        </w:r>
      </w:fldSimple>
      <w:bookmarkEnd w:id="35"/>
      <w:r w:rsidRPr="00627DA0">
        <w:t>: Conservation Potential Assessment Methodology</w:t>
      </w:r>
      <w:bookmarkEnd w:id="36"/>
    </w:p>
    <w:p w14:paraId="61FEDB9A" w14:textId="466CFD69" w:rsidR="00815DBD" w:rsidRPr="00627DA0" w:rsidRDefault="00B40BD5" w:rsidP="001B1033">
      <w:pPr>
        <w:spacing w:before="240"/>
      </w:pPr>
      <w:r w:rsidRPr="00627DA0">
        <w:drawing>
          <wp:inline distT="0" distB="0" distL="0" distR="0" wp14:anchorId="5E428773" wp14:editId="63C3A7E5">
            <wp:extent cx="5864860" cy="1275990"/>
            <wp:effectExtent l="0" t="0" r="2540" b="0"/>
            <wp:docPr id="18" name="Picture 18"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diagra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9645" cy="1314017"/>
                    </a:xfrm>
                    <a:prstGeom prst="rect">
                      <a:avLst/>
                    </a:prstGeom>
                    <a:noFill/>
                  </pic:spPr>
                </pic:pic>
              </a:graphicData>
            </a:graphic>
          </wp:inline>
        </w:drawing>
      </w:r>
    </w:p>
    <w:p w14:paraId="50A4DE6A" w14:textId="2C906F85" w:rsidR="00DF58B5" w:rsidRPr="00627DA0" w:rsidRDefault="00E30F37" w:rsidP="00E95DF6">
      <w:pPr>
        <w:pStyle w:val="Heading2"/>
      </w:pPr>
      <w:bookmarkStart w:id="37" w:name="_Toc207870661"/>
      <w:r w:rsidRPr="00627DA0">
        <w:t>Economic Inputs</w:t>
      </w:r>
      <w:bookmarkEnd w:id="37"/>
    </w:p>
    <w:p w14:paraId="35BD3FAA" w14:textId="2485B2BA" w:rsidR="00DF4D58" w:rsidRPr="00627DA0" w:rsidRDefault="00DF4D58" w:rsidP="00DF4D58">
      <w:r w:rsidRPr="00627DA0">
        <w:t xml:space="preserve">The project team worked closely with </w:t>
      </w:r>
      <w:r w:rsidR="0032364D" w:rsidRPr="00627DA0">
        <w:t>Inland Power</w:t>
      </w:r>
      <w:r w:rsidRPr="00627DA0">
        <w:t xml:space="preserve"> staff to define the economic inputs that were used in this CPA, including avoided energy costs, carbon costs, transmission and distribution capacity costs, and generation capacity costs. Each of these are discussed below. A full discussion of the avoided costs is included in Appendix IV. </w:t>
      </w:r>
    </w:p>
    <w:p w14:paraId="7BA05C94" w14:textId="77777777" w:rsidR="00D26F4C" w:rsidRPr="00627DA0" w:rsidRDefault="00D26F4C" w:rsidP="00D26F4C">
      <w:pPr>
        <w:pStyle w:val="Heading3"/>
      </w:pPr>
      <w:r w:rsidRPr="00627DA0">
        <w:t>Avoided Energy Costs</w:t>
      </w:r>
    </w:p>
    <w:p w14:paraId="520C8882" w14:textId="2FA86EA3" w:rsidR="00D26F4C" w:rsidRPr="00627DA0" w:rsidRDefault="00D26F4C" w:rsidP="00D26F4C">
      <w:r w:rsidRPr="00627DA0">
        <w:t>Avoided energy costs represent the cost of energy purchases that are avoided through energy efficiency savings. The EIA requires utilities to “set avoided costs equal to a forecast of regional market prices.”</w:t>
      </w:r>
      <w:r w:rsidRPr="00627DA0">
        <w:rPr>
          <w:rStyle w:val="FootnoteReference"/>
        </w:rPr>
        <w:footnoteReference w:id="3"/>
      </w:r>
      <w:r w:rsidRPr="00627DA0">
        <w:t xml:space="preserve"> For this CPA, </w:t>
      </w:r>
      <w:r w:rsidR="0032364D" w:rsidRPr="00627DA0">
        <w:t>Inland Power</w:t>
      </w:r>
      <w:r w:rsidR="00534932" w:rsidRPr="00627DA0">
        <w:t xml:space="preserve"> provided</w:t>
      </w:r>
      <w:r w:rsidRPr="00627DA0">
        <w:t xml:space="preserve"> a forecast of on- and off-peak market prices at </w:t>
      </w:r>
      <w:r w:rsidRPr="00627DA0">
        <w:lastRenderedPageBreak/>
        <w:t>the Mid-Columbia trading hub</w:t>
      </w:r>
      <w:r w:rsidR="007A73D3" w:rsidRPr="00627DA0">
        <w:t xml:space="preserve"> </w:t>
      </w:r>
      <w:r w:rsidR="00BD0EA6" w:rsidRPr="00627DA0">
        <w:t>that served as the basis for this forecast</w:t>
      </w:r>
      <w:r w:rsidRPr="00627DA0">
        <w:t xml:space="preserve">. </w:t>
      </w:r>
      <w:r w:rsidRPr="00627DA0">
        <w:fldChar w:fldCharType="begin"/>
      </w:r>
      <w:r w:rsidRPr="00627DA0">
        <w:instrText xml:space="preserve"> REF _Ref69212502 \h </w:instrText>
      </w:r>
      <w:r w:rsidRPr="00627DA0">
        <w:fldChar w:fldCharType="separate"/>
      </w:r>
      <w:r w:rsidR="00431297" w:rsidRPr="00627DA0">
        <w:t>Figure 6</w:t>
      </w:r>
      <w:r w:rsidRPr="00627DA0">
        <w:fldChar w:fldCharType="end"/>
      </w:r>
      <w:r w:rsidRPr="00627DA0">
        <w:t xml:space="preserve"> below shows the market price forecast that was used for the base case of this assessment. High and low </w:t>
      </w:r>
      <w:r w:rsidR="000D6A70" w:rsidRPr="00627DA0">
        <w:t>sensitivity</w:t>
      </w:r>
      <w:r w:rsidRPr="00627DA0">
        <w:t xml:space="preserve"> price forecasts were developed based on this forecast and are discussed in</w:t>
      </w:r>
      <w:r w:rsidR="000D6A70" w:rsidRPr="00627DA0">
        <w:t xml:space="preserve"> Appendix IV</w:t>
      </w:r>
      <w:r w:rsidRPr="00627DA0">
        <w:t>.</w:t>
      </w:r>
    </w:p>
    <w:p w14:paraId="45DDCF0C" w14:textId="2890666C" w:rsidR="00D26F4C" w:rsidRPr="00627DA0" w:rsidRDefault="00D26F4C" w:rsidP="00D26F4C">
      <w:pPr>
        <w:pStyle w:val="Caption"/>
      </w:pPr>
      <w:bookmarkStart w:id="38" w:name="_Ref69212502"/>
      <w:bookmarkStart w:id="39" w:name="_Toc140048859"/>
      <w:bookmarkStart w:id="40" w:name="_Toc207870705"/>
      <w:r w:rsidRPr="00627DA0">
        <w:t xml:space="preserve">Figure </w:t>
      </w:r>
      <w:r w:rsidRPr="00627DA0">
        <w:fldChar w:fldCharType="begin"/>
      </w:r>
      <w:r w:rsidRPr="00627DA0">
        <w:instrText>SEQ Figure \* ARABIC</w:instrText>
      </w:r>
      <w:r w:rsidRPr="00627DA0">
        <w:fldChar w:fldCharType="separate"/>
      </w:r>
      <w:r w:rsidR="00431297" w:rsidRPr="00627DA0">
        <w:t>6</w:t>
      </w:r>
      <w:r w:rsidRPr="00627DA0">
        <w:fldChar w:fldCharType="end"/>
      </w:r>
      <w:bookmarkEnd w:id="38"/>
      <w:r w:rsidRPr="00627DA0">
        <w:t>: Avoided Energy Costs</w:t>
      </w:r>
      <w:bookmarkEnd w:id="39"/>
      <w:bookmarkEnd w:id="40"/>
    </w:p>
    <w:p w14:paraId="695CE7CF" w14:textId="693CFB89" w:rsidR="00D26F4C" w:rsidRPr="00627DA0" w:rsidRDefault="0008094C" w:rsidP="00D26F4C">
      <w:pPr>
        <w:jc w:val="center"/>
      </w:pPr>
      <w:r w:rsidRPr="00627DA0">
        <w:drawing>
          <wp:inline distT="0" distB="0" distL="0" distR="0" wp14:anchorId="638AB5FF" wp14:editId="4A005041">
            <wp:extent cx="5943600" cy="2346514"/>
            <wp:effectExtent l="0" t="0" r="0" b="0"/>
            <wp:docPr id="173613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3808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t="7230" b="7230"/>
                    <a:stretch>
                      <a:fillRect/>
                    </a:stretch>
                  </pic:blipFill>
                  <pic:spPr bwMode="auto">
                    <a:xfrm>
                      <a:off x="0" y="0"/>
                      <a:ext cx="5943600" cy="2346514"/>
                    </a:xfrm>
                    <a:prstGeom prst="rect">
                      <a:avLst/>
                    </a:prstGeom>
                    <a:noFill/>
                    <a:ln>
                      <a:noFill/>
                    </a:ln>
                    <a:extLst>
                      <a:ext uri="{53640926-AAD7-44D8-BBD7-CCE9431645EC}">
                        <a14:shadowObscured xmlns:a14="http://schemas.microsoft.com/office/drawing/2010/main"/>
                      </a:ext>
                    </a:extLst>
                  </pic:spPr>
                </pic:pic>
              </a:graphicData>
            </a:graphic>
          </wp:inline>
        </w:drawing>
      </w:r>
    </w:p>
    <w:p w14:paraId="2C35D1FB" w14:textId="77777777" w:rsidR="00D26F4C" w:rsidRPr="00627DA0" w:rsidRDefault="00D26F4C" w:rsidP="00D26F4C">
      <w:pPr>
        <w:pStyle w:val="Heading3"/>
      </w:pPr>
      <w:r w:rsidRPr="00627DA0">
        <w:t>Social Cost of Carbon</w:t>
      </w:r>
    </w:p>
    <w:p w14:paraId="27C56599" w14:textId="77777777" w:rsidR="00D26F4C" w:rsidRPr="00627DA0" w:rsidRDefault="00D26F4C" w:rsidP="00D26F4C">
      <w:r w:rsidRPr="00627DA0">
        <w:t>In addition to avoiding purchases of energy, energy efficiency measures can avoid emissions of greenhouse gases like carbon dioxide. The EIA requires that CPAs include a social cost of carbon, which the US EPA defines as “a measure of the long-term damage done by a ton of carbon dioxide emissions in a given year.” It includes, among other things, changes in agricultural productivity, human health, property damages from increased flood risk, and changes in energy system costs, including increases in the costs of cooling and decreases in heating costs.</w:t>
      </w:r>
      <w:r w:rsidRPr="00627DA0">
        <w:rPr>
          <w:rStyle w:val="FootnoteReference"/>
        </w:rPr>
        <w:footnoteReference w:id="4"/>
      </w:r>
      <w:r w:rsidRPr="00627DA0">
        <w:t xml:space="preserve"> In addition to this requirement, Washington’s CETA requires that utilities use the social cost of carbon values developed by the federal Interagency workgroup using a 2.5% discount rate.</w:t>
      </w:r>
      <w:r w:rsidRPr="00627DA0">
        <w:rPr>
          <w:rStyle w:val="FootnoteReference"/>
        </w:rPr>
        <w:footnoteReference w:id="5"/>
      </w:r>
    </w:p>
    <w:p w14:paraId="5AD76922" w14:textId="77777777" w:rsidR="00D26F4C" w:rsidRPr="00627DA0" w:rsidRDefault="00D26F4C" w:rsidP="00D26F4C">
      <w:pPr>
        <w:pStyle w:val="Heading3"/>
        <w:rPr>
          <w:rFonts w:eastAsiaTheme="minorHAnsi"/>
        </w:rPr>
      </w:pPr>
      <w:r w:rsidRPr="00627DA0">
        <w:rPr>
          <w:rFonts w:eastAsiaTheme="minorHAnsi"/>
        </w:rPr>
        <w:t>Renewable Portfolio Standard Compliance Costs</w:t>
      </w:r>
    </w:p>
    <w:p w14:paraId="14E9334B" w14:textId="3EEF4716" w:rsidR="00D26F4C" w:rsidRPr="00627DA0" w:rsidRDefault="00D26F4C" w:rsidP="00D26F4C">
      <w:r w:rsidRPr="00627DA0">
        <w:t xml:space="preserve">By reducing </w:t>
      </w:r>
      <w:r w:rsidR="0032364D" w:rsidRPr="00627DA0">
        <w:t>Inland Power</w:t>
      </w:r>
      <w:r w:rsidRPr="00627DA0">
        <w:t xml:space="preserve">’s overall load, energy efficiency reduces the cost of complying with Washington’s requirements for renewable and carbon-neutral energy. </w:t>
      </w:r>
      <w:r w:rsidR="00234A80" w:rsidRPr="00627DA0">
        <w:t xml:space="preserve">In 2026, </w:t>
      </w:r>
      <w:r w:rsidR="0032364D" w:rsidRPr="00627DA0">
        <w:t>Inland Power</w:t>
      </w:r>
      <w:r w:rsidRPr="00627DA0">
        <w:t xml:space="preserve"> </w:t>
      </w:r>
      <w:r w:rsidR="00740510" w:rsidRPr="00627DA0">
        <w:t xml:space="preserve">is required to source </w:t>
      </w:r>
      <w:r w:rsidR="00E97A89" w:rsidRPr="00627DA0">
        <w:t>15</w:t>
      </w:r>
      <w:r w:rsidR="00740510" w:rsidRPr="00627DA0">
        <w:t xml:space="preserve">% of its sales </w:t>
      </w:r>
      <w:r w:rsidR="00086584" w:rsidRPr="00627DA0">
        <w:t xml:space="preserve">from renewable energy. </w:t>
      </w:r>
      <w:r w:rsidRPr="00627DA0">
        <w:t xml:space="preserve">With a 15% requirement for renewable energy, </w:t>
      </w:r>
      <w:r w:rsidR="0032364D" w:rsidRPr="00627DA0">
        <w:t>Inland Power</w:t>
      </w:r>
      <w:r w:rsidRPr="00627DA0">
        <w:t xml:space="preserve"> can avoid the purchase of 15 </w:t>
      </w:r>
      <w:r w:rsidR="00951295" w:rsidRPr="00627DA0">
        <w:t>Renewable Energy Credits (</w:t>
      </w:r>
      <w:r w:rsidR="008033A5" w:rsidRPr="00627DA0">
        <w:t xml:space="preserve">RECs) </w:t>
      </w:r>
      <w:r w:rsidR="00E4505F" w:rsidRPr="00627DA0">
        <w:t>with every</w:t>
      </w:r>
      <w:r w:rsidRPr="00627DA0">
        <w:t xml:space="preserve"> 100 MWh of energy</w:t>
      </w:r>
      <w:r w:rsidR="00E4505F" w:rsidRPr="00627DA0">
        <w:t xml:space="preserve"> savings</w:t>
      </w:r>
      <w:r w:rsidRPr="00627DA0">
        <w:t>. In 2030, CETA requires all sales to be greenhouse gas neutral, while allowing up to 20% of the requirement to be met through REC purchases through 2044. Based on this requirement, it is assumed that after 2030 every unit of energy savings results in an equivalent reduction in REC purchases.</w:t>
      </w:r>
      <w:r w:rsidR="00E708E9" w:rsidRPr="00627DA0">
        <w:t xml:space="preserve"> In 2045, </w:t>
      </w:r>
      <w:r w:rsidR="00B151B8" w:rsidRPr="00627DA0">
        <w:t xml:space="preserve">CETA requires 100% clean energy, so the project team assumed that </w:t>
      </w:r>
      <w:r w:rsidR="00AC61A1" w:rsidRPr="00627DA0">
        <w:t>market prices plus REC costs would represent the cost of clean energy.</w:t>
      </w:r>
    </w:p>
    <w:p w14:paraId="3BAFC565" w14:textId="77777777" w:rsidR="00AB1071" w:rsidRPr="00627DA0" w:rsidRDefault="00AB1071" w:rsidP="00AB1071">
      <w:pPr>
        <w:pStyle w:val="Heading3"/>
      </w:pPr>
      <w:r w:rsidRPr="00627DA0">
        <w:lastRenderedPageBreak/>
        <w:t xml:space="preserve">Deferred Transmission and Distribution System Costs </w:t>
      </w:r>
    </w:p>
    <w:p w14:paraId="6134807E" w14:textId="77777777" w:rsidR="00AB1071" w:rsidRPr="00627DA0" w:rsidRDefault="00AB1071" w:rsidP="00AB1071">
      <w:r w:rsidRPr="00627DA0">
        <w:t xml:space="preserve">Unlike supply-side resources, energy efficiency does not require capacity on transmission and distribution infrastructure. Instead, it frees up capacity by reducing the peak demands on these systems and can help defer future capacity expansions and the associated capital costs. </w:t>
      </w:r>
    </w:p>
    <w:p w14:paraId="36324295" w14:textId="4E02B8C3" w:rsidR="00AB1071" w:rsidRPr="00627DA0" w:rsidRDefault="00AB1071" w:rsidP="00AB1071">
      <w:r w:rsidRPr="00627DA0">
        <w:t>In the development of the 2021 Power Plan, the Council developed a standard methodology for calculating these values and surveyed Northwest utilities to update the values associated with these cost deferrals</w:t>
      </w:r>
      <w:r w:rsidR="00867C5F" w:rsidRPr="00627DA0">
        <w:t>. This CPA uses the values developed by the Council through that process. The resulting values are $3.54 and $7.82 per kW-year (in 2016 dollars) for transmission and distribution capacity, respectively.</w:t>
      </w:r>
      <w:r w:rsidR="00867C5F" w:rsidRPr="00627DA0">
        <w:rPr>
          <w:rStyle w:val="FootnoteReference"/>
        </w:rPr>
        <w:footnoteReference w:id="6"/>
      </w:r>
      <w:r w:rsidR="00867C5F" w:rsidRPr="00627DA0">
        <w:t xml:space="preserve"> These values are applied to the demand savings coincident with the timing of the respective system peaks</w:t>
      </w:r>
      <w:r w:rsidR="009475B8" w:rsidRPr="00627DA0">
        <w:t xml:space="preserve">. </w:t>
      </w:r>
    </w:p>
    <w:p w14:paraId="25948B4D" w14:textId="290E12B3" w:rsidR="00AE2295" w:rsidRPr="00627DA0" w:rsidRDefault="00AE2295" w:rsidP="00942A4A">
      <w:pPr>
        <w:pStyle w:val="Heading3"/>
      </w:pPr>
      <w:r w:rsidRPr="00627DA0">
        <w:t>Program Administration Costs</w:t>
      </w:r>
    </w:p>
    <w:p w14:paraId="1BF02197" w14:textId="5DFA8242" w:rsidR="00AE2295" w:rsidRPr="00627DA0" w:rsidRDefault="00AE2295" w:rsidP="00AE2295">
      <w:r w:rsidRPr="00627DA0">
        <w:t xml:space="preserve">In </w:t>
      </w:r>
      <w:r w:rsidR="004D0EAC" w:rsidRPr="00627DA0">
        <w:t>its pa</w:t>
      </w:r>
      <w:r w:rsidR="00A74798" w:rsidRPr="00627DA0">
        <w:t>st</w:t>
      </w:r>
      <w:r w:rsidRPr="00627DA0">
        <w:t xml:space="preserve"> power plans, the Council has assumed that</w:t>
      </w:r>
      <w:r w:rsidR="000E5804" w:rsidRPr="00627DA0">
        <w:t xml:space="preserve"> program administrative costs are equal to 20% of the cost of each measure. This CPA uses that assumption, which is also consistent with </w:t>
      </w:r>
      <w:r w:rsidR="0032364D" w:rsidRPr="00627DA0">
        <w:t>Inland Power</w:t>
      </w:r>
      <w:r w:rsidR="00450FB8" w:rsidRPr="00627DA0">
        <w:t>’s previous CPA</w:t>
      </w:r>
      <w:r w:rsidR="00695215" w:rsidRPr="00627DA0">
        <w:t>s</w:t>
      </w:r>
      <w:r w:rsidR="00450FB8" w:rsidRPr="00627DA0">
        <w:t>.</w:t>
      </w:r>
    </w:p>
    <w:p w14:paraId="0DB8B4D5" w14:textId="77777777" w:rsidR="00695215" w:rsidRPr="00627DA0" w:rsidRDefault="00695215" w:rsidP="00695215">
      <w:pPr>
        <w:pStyle w:val="Heading3"/>
        <w:rPr>
          <w:rFonts w:eastAsiaTheme="minorHAnsi"/>
        </w:rPr>
      </w:pPr>
      <w:r w:rsidRPr="00627DA0">
        <w:rPr>
          <w:rFonts w:eastAsiaTheme="minorHAnsi"/>
        </w:rPr>
        <w:t>Risk Mitigation</w:t>
      </w:r>
    </w:p>
    <w:p w14:paraId="01FE03AF" w14:textId="77777777" w:rsidR="00695215" w:rsidRPr="00627DA0" w:rsidRDefault="00695215" w:rsidP="00695215">
      <w:r w:rsidRPr="00627DA0">
        <w:t xml:space="preserve">Investing in energy efficiency can reduce the risks that utilities face by the fact that it is made in small increments over time, rather than the large, singular sums required for generation resources. </w:t>
      </w:r>
    </w:p>
    <w:p w14:paraId="08DFFBD0" w14:textId="2A06D9B0" w:rsidR="00695215" w:rsidRPr="00627DA0" w:rsidRDefault="00695215" w:rsidP="00695215">
      <w:r w:rsidRPr="00627DA0">
        <w:t xml:space="preserve">This CPA follows the process used in </w:t>
      </w:r>
      <w:r w:rsidR="0032364D" w:rsidRPr="00627DA0">
        <w:t>Inland Power</w:t>
      </w:r>
      <w:r w:rsidRPr="00627DA0">
        <w:t xml:space="preserve">’s previous CPAs. A sensitivity analysis is used to account for uncertainty, where present, in avoided cost values. The variation in inputs covers a range of possible outcomes and the amount of cost-effective energy efficiency potential is presented under each sensitivity. In selecting its biennial target based on this range of outcomes, </w:t>
      </w:r>
      <w:r w:rsidR="0032364D" w:rsidRPr="00627DA0">
        <w:t>Inland Power</w:t>
      </w:r>
      <w:r w:rsidRPr="00627DA0">
        <w:t xml:space="preserve"> is selecting its preferred risk strategy and the associated risk credit.</w:t>
      </w:r>
    </w:p>
    <w:p w14:paraId="1386A035" w14:textId="260C6DC2" w:rsidR="000C4D32" w:rsidRPr="00627DA0" w:rsidRDefault="00745FF7" w:rsidP="00745FF7">
      <w:pPr>
        <w:pStyle w:val="Heading3"/>
      </w:pPr>
      <w:r w:rsidRPr="00627DA0">
        <w:t>Northwest Power Act Credit</w:t>
      </w:r>
    </w:p>
    <w:p w14:paraId="59006051" w14:textId="0712EA81" w:rsidR="00D07A68" w:rsidRPr="00627DA0" w:rsidRDefault="00745FF7" w:rsidP="00D07A68">
      <w:r w:rsidRPr="00627DA0">
        <w:t xml:space="preserve">The </w:t>
      </w:r>
      <w:r w:rsidR="00D64D0E" w:rsidRPr="00627DA0">
        <w:t xml:space="preserve">EIA requires that a 10% cost credit be given to energy efficiency measures. </w:t>
      </w:r>
      <w:r w:rsidR="001C4C59" w:rsidRPr="00627DA0">
        <w:t>This benefit is specified in the Northwest Electric Power Planning and Conservation Act</w:t>
      </w:r>
      <w:r w:rsidR="00006D3B" w:rsidRPr="00627DA0">
        <w:t xml:space="preserve"> and is included by the Council in their power planning work.</w:t>
      </w:r>
    </w:p>
    <w:p w14:paraId="4D88396E" w14:textId="612B5C94" w:rsidR="00006D3B" w:rsidRPr="00627DA0" w:rsidRDefault="00006D3B" w:rsidP="00E95DF6">
      <w:pPr>
        <w:pStyle w:val="Heading2"/>
      </w:pPr>
      <w:bookmarkStart w:id="41" w:name="_Toc207870662"/>
      <w:r w:rsidRPr="00627DA0">
        <w:t>Other Financial Assumptions</w:t>
      </w:r>
      <w:bookmarkEnd w:id="41"/>
    </w:p>
    <w:p w14:paraId="653A9011" w14:textId="15C1F16E" w:rsidR="00006D3B" w:rsidRPr="00627DA0" w:rsidRDefault="00006D3B" w:rsidP="00006D3B">
      <w:r w:rsidRPr="00627DA0">
        <w:t xml:space="preserve">In addition, this assessment </w:t>
      </w:r>
      <w:r w:rsidR="00541AA7" w:rsidRPr="00627DA0">
        <w:t xml:space="preserve">makes use of an assumed discount rate to convert </w:t>
      </w:r>
      <w:r w:rsidR="00C6202E" w:rsidRPr="00627DA0">
        <w:t>future costs and benefits to present</w:t>
      </w:r>
      <w:r w:rsidR="00E97D36" w:rsidRPr="00627DA0">
        <w:t xml:space="preserve"> </w:t>
      </w:r>
      <w:r w:rsidR="00C6202E" w:rsidRPr="00627DA0">
        <w:t xml:space="preserve">values </w:t>
      </w:r>
      <w:r w:rsidR="00A75D06" w:rsidRPr="00627DA0">
        <w:t xml:space="preserve">so that values occurring in different years can be compared. </w:t>
      </w:r>
      <w:r w:rsidR="000C46CE" w:rsidRPr="00627DA0">
        <w:t xml:space="preserve">This assessment uses a real discount rate of </w:t>
      </w:r>
      <w:r w:rsidR="00523C98" w:rsidRPr="00627DA0">
        <w:t>3</w:t>
      </w:r>
      <w:r w:rsidR="00D22E9D" w:rsidRPr="00627DA0">
        <w:t>.</w:t>
      </w:r>
      <w:r w:rsidR="00630DD3" w:rsidRPr="00627DA0">
        <w:t>75</w:t>
      </w:r>
      <w:r w:rsidR="00617147" w:rsidRPr="00627DA0">
        <w:t>%</w:t>
      </w:r>
      <w:r w:rsidR="005206BE" w:rsidRPr="00627DA0">
        <w:t>.</w:t>
      </w:r>
      <w:r w:rsidR="00FA0D87" w:rsidRPr="00627DA0">
        <w:t xml:space="preserve"> </w:t>
      </w:r>
      <w:r w:rsidR="00EC71E5" w:rsidRPr="00627DA0">
        <w:t xml:space="preserve">Energy efficiency’s benefits accrue over the lifetime of the measure, </w:t>
      </w:r>
      <w:r w:rsidR="005826C9" w:rsidRPr="00627DA0">
        <w:t xml:space="preserve">so </w:t>
      </w:r>
      <w:r w:rsidR="005206BE" w:rsidRPr="00627DA0">
        <w:t>a low</w:t>
      </w:r>
      <w:r w:rsidR="005826C9" w:rsidRPr="00627DA0">
        <w:t>er discount rate result</w:t>
      </w:r>
      <w:r w:rsidR="005206BE" w:rsidRPr="00627DA0">
        <w:t>s</w:t>
      </w:r>
      <w:r w:rsidR="005826C9" w:rsidRPr="00627DA0">
        <w:t xml:space="preserve"> in </w:t>
      </w:r>
      <w:r w:rsidR="00D572E6" w:rsidRPr="00627DA0">
        <w:t>higher present values for</w:t>
      </w:r>
      <w:r w:rsidR="005826C9" w:rsidRPr="00627DA0">
        <w:t xml:space="preserve"> benefits occurring in future years.</w:t>
      </w:r>
    </w:p>
    <w:p w14:paraId="7FA01809" w14:textId="3E2E08B5" w:rsidR="00ED07AC" w:rsidRPr="00627DA0" w:rsidRDefault="00ED07AC" w:rsidP="00006D3B">
      <w:r w:rsidRPr="00627DA0">
        <w:t>Assumptions about finance costs are applied to measures as well.</w:t>
      </w:r>
      <w:r w:rsidR="00B476EC" w:rsidRPr="00627DA0">
        <w:t xml:space="preserve"> The cost of </w:t>
      </w:r>
      <w:r w:rsidR="00EA3A11" w:rsidRPr="00627DA0">
        <w:t xml:space="preserve">each </w:t>
      </w:r>
      <w:r w:rsidR="00F327EB" w:rsidRPr="00627DA0">
        <w:t xml:space="preserve">measure </w:t>
      </w:r>
      <w:r w:rsidR="00EA3A11" w:rsidRPr="00627DA0">
        <w:t>is</w:t>
      </w:r>
      <w:r w:rsidR="00F327EB" w:rsidRPr="00627DA0">
        <w:t xml:space="preserve"> assumed to be split across various entities, including </w:t>
      </w:r>
      <w:r w:rsidR="0092368D" w:rsidRPr="00627DA0">
        <w:t>Bonneville Power Administration (</w:t>
      </w:r>
      <w:r w:rsidR="00F327EB" w:rsidRPr="00627DA0">
        <w:t>BPA</w:t>
      </w:r>
      <w:r w:rsidR="0092368D" w:rsidRPr="00627DA0">
        <w:t>)</w:t>
      </w:r>
      <w:r w:rsidR="00F327EB" w:rsidRPr="00627DA0">
        <w:t xml:space="preserve">, </w:t>
      </w:r>
      <w:r w:rsidR="0032364D" w:rsidRPr="00627DA0">
        <w:t>Inland Power</w:t>
      </w:r>
      <w:r w:rsidR="00D80D97" w:rsidRPr="00627DA0">
        <w:t xml:space="preserve">, and end use customers. </w:t>
      </w:r>
      <w:r w:rsidR="00D74D38" w:rsidRPr="00627DA0">
        <w:t>For e</w:t>
      </w:r>
      <w:r w:rsidR="00D80D97" w:rsidRPr="00627DA0">
        <w:t>ach of these entities</w:t>
      </w:r>
      <w:r w:rsidR="00D74D38" w:rsidRPr="00627DA0">
        <w:t xml:space="preserve">, additional assumptions are made </w:t>
      </w:r>
      <w:r w:rsidR="006A0B9B" w:rsidRPr="00627DA0">
        <w:t xml:space="preserve">about </w:t>
      </w:r>
      <w:r w:rsidR="006A064D" w:rsidRPr="00627DA0">
        <w:t>whether the measure costs are financed</w:t>
      </w:r>
      <w:r w:rsidR="00FA0D87" w:rsidRPr="00627DA0">
        <w:t>, and if so, the cost of that financing.</w:t>
      </w:r>
      <w:r w:rsidR="00FD3F26" w:rsidRPr="00627DA0">
        <w:t xml:space="preserve"> Th</w:t>
      </w:r>
      <w:r w:rsidR="00595983" w:rsidRPr="00627DA0">
        <w:t xml:space="preserve">is assessment uses the finance cost assumptions </w:t>
      </w:r>
      <w:r w:rsidR="00491A19" w:rsidRPr="00627DA0">
        <w:t xml:space="preserve">that were </w:t>
      </w:r>
      <w:r w:rsidR="00595983" w:rsidRPr="00627DA0">
        <w:t xml:space="preserve">used in the </w:t>
      </w:r>
      <w:r w:rsidR="00DE59C5" w:rsidRPr="00627DA0">
        <w:t>2021</w:t>
      </w:r>
      <w:r w:rsidR="00595983" w:rsidRPr="00627DA0">
        <w:t xml:space="preserve"> </w:t>
      </w:r>
      <w:r w:rsidR="0092368D" w:rsidRPr="00627DA0">
        <w:t xml:space="preserve">Power </w:t>
      </w:r>
      <w:r w:rsidR="00595983" w:rsidRPr="00627DA0">
        <w:t>Plan</w:t>
      </w:r>
      <w:r w:rsidR="00491A19" w:rsidRPr="00627DA0">
        <w:t>.</w:t>
      </w:r>
    </w:p>
    <w:p w14:paraId="681F2112" w14:textId="1B7AB541" w:rsidR="00324A24" w:rsidRPr="00627DA0" w:rsidRDefault="00324A24" w:rsidP="00E95DF6">
      <w:pPr>
        <w:pStyle w:val="Heading2"/>
      </w:pPr>
      <w:bookmarkStart w:id="42" w:name="_Toc207870663"/>
      <w:r w:rsidRPr="00627DA0">
        <w:lastRenderedPageBreak/>
        <w:t>Measure Characterization</w:t>
      </w:r>
      <w:bookmarkEnd w:id="42"/>
    </w:p>
    <w:p w14:paraId="4A889F3F" w14:textId="100A01DE" w:rsidR="000412BA" w:rsidRPr="00627DA0" w:rsidRDefault="00074FE6" w:rsidP="000600E5">
      <w:r w:rsidRPr="00627DA0">
        <w:t xml:space="preserve">Measure characterization is the process of </w:t>
      </w:r>
      <w:r w:rsidR="00873D01" w:rsidRPr="00627DA0">
        <w:t>defining each individual measure</w:t>
      </w:r>
      <w:r w:rsidR="00D22C98" w:rsidRPr="00627DA0">
        <w:t xml:space="preserve">, including </w:t>
      </w:r>
      <w:r w:rsidR="00873D01" w:rsidRPr="00627DA0">
        <w:t xml:space="preserve">the </w:t>
      </w:r>
      <w:r w:rsidR="00D22C98" w:rsidRPr="00627DA0">
        <w:t>savings</w:t>
      </w:r>
      <w:r w:rsidR="00417AD9" w:rsidRPr="00627DA0">
        <w:t xml:space="preserve"> at the meter</w:t>
      </w:r>
      <w:r w:rsidR="00D22C98" w:rsidRPr="00627DA0">
        <w:t xml:space="preserve"> </w:t>
      </w:r>
      <w:r w:rsidR="00DE59C5" w:rsidRPr="00627DA0">
        <w:t xml:space="preserve">as well as the </w:t>
      </w:r>
      <w:r w:rsidR="00D22C98" w:rsidRPr="00627DA0">
        <w:t xml:space="preserve">cost, lifetime, non-energy impacts, and a load </w:t>
      </w:r>
      <w:r w:rsidR="00DF35BA" w:rsidRPr="00627DA0">
        <w:t xml:space="preserve">or savings </w:t>
      </w:r>
      <w:r w:rsidR="00D22C98" w:rsidRPr="00627DA0">
        <w:t xml:space="preserve">shape </w:t>
      </w:r>
      <w:r w:rsidR="00AC2B81" w:rsidRPr="00627DA0">
        <w:t xml:space="preserve">that </w:t>
      </w:r>
      <w:r w:rsidR="00D22C98" w:rsidRPr="00627DA0">
        <w:t>defin</w:t>
      </w:r>
      <w:r w:rsidR="00AC2B81" w:rsidRPr="00627DA0">
        <w:t>es</w:t>
      </w:r>
      <w:r w:rsidR="00D22C98" w:rsidRPr="00627DA0">
        <w:t xml:space="preserve"> when the savings occur</w:t>
      </w:r>
      <w:r w:rsidR="000412BA" w:rsidRPr="00627DA0">
        <w:t xml:space="preserve">. The Council’s </w:t>
      </w:r>
      <w:r w:rsidR="00AC2B81" w:rsidRPr="00627DA0">
        <w:t>2021</w:t>
      </w:r>
      <w:r w:rsidR="000412BA" w:rsidRPr="00627DA0">
        <w:t xml:space="preserve"> </w:t>
      </w:r>
      <w:r w:rsidR="0092368D" w:rsidRPr="00627DA0">
        <w:t xml:space="preserve">Power </w:t>
      </w:r>
      <w:r w:rsidR="000412BA" w:rsidRPr="00627DA0">
        <w:t xml:space="preserve">Plan </w:t>
      </w:r>
      <w:r w:rsidR="00AC2B81" w:rsidRPr="00627DA0">
        <w:t>materials are</w:t>
      </w:r>
      <w:r w:rsidR="000412BA" w:rsidRPr="00627DA0">
        <w:t xml:space="preserve"> the primary source for this information</w:t>
      </w:r>
      <w:r w:rsidR="00AC2B81" w:rsidRPr="00627DA0">
        <w:t>,</w:t>
      </w:r>
      <w:r w:rsidR="000412BA" w:rsidRPr="00627DA0">
        <w:t xml:space="preserve"> although </w:t>
      </w:r>
      <w:r w:rsidR="00C30A82" w:rsidRPr="00627DA0">
        <w:t>the project team</w:t>
      </w:r>
      <w:r w:rsidR="003E1F30" w:rsidRPr="00627DA0">
        <w:t xml:space="preserve"> incorporated </w:t>
      </w:r>
      <w:r w:rsidR="000412BA" w:rsidRPr="00627DA0">
        <w:t>update</w:t>
      </w:r>
      <w:r w:rsidR="003E1F30" w:rsidRPr="00627DA0">
        <w:t>d information</w:t>
      </w:r>
      <w:r w:rsidR="000412BA" w:rsidRPr="00627DA0">
        <w:t xml:space="preserve"> from the RTF </w:t>
      </w:r>
      <w:r w:rsidR="003E1F30" w:rsidRPr="00627DA0">
        <w:t>for many measures. Appendix V</w:t>
      </w:r>
      <w:r w:rsidR="00427F03" w:rsidRPr="00627DA0">
        <w:t xml:space="preserve"> contains the full list of energy efficiency measures considered the source(s) of information used for each.</w:t>
      </w:r>
    </w:p>
    <w:p w14:paraId="0BF41C8C" w14:textId="7CEB065A" w:rsidR="000412BA" w:rsidRPr="00627DA0" w:rsidRDefault="000412BA" w:rsidP="000600E5">
      <w:r w:rsidRPr="00627DA0">
        <w:t>Measure savings are typically defined via a “last in” approach. With this methodology, each measure</w:t>
      </w:r>
      <w:r w:rsidR="00CE06E7" w:rsidRPr="00627DA0">
        <w:t>’</w:t>
      </w:r>
      <w:r w:rsidRPr="00627DA0">
        <w:t xml:space="preserve">s savings </w:t>
      </w:r>
      <w:r w:rsidR="009967CF" w:rsidRPr="00627DA0">
        <w:t>is</w:t>
      </w:r>
      <w:r w:rsidRPr="00627DA0">
        <w:t xml:space="preserve"> determined as if it was the last measure installed. For example, </w:t>
      </w:r>
      <w:r w:rsidR="007742DE" w:rsidRPr="00627DA0">
        <w:t xml:space="preserve">savings from </w:t>
      </w:r>
      <w:r w:rsidR="009967CF" w:rsidRPr="00627DA0">
        <w:t>home weatherization measure</w:t>
      </w:r>
      <w:r w:rsidR="007742DE" w:rsidRPr="00627DA0">
        <w:t>s</w:t>
      </w:r>
      <w:r w:rsidR="009967CF" w:rsidRPr="00627DA0">
        <w:t xml:space="preserve"> </w:t>
      </w:r>
      <w:r w:rsidR="00CB2D90" w:rsidRPr="00627DA0">
        <w:t xml:space="preserve">are determined based on </w:t>
      </w:r>
      <w:r w:rsidR="008366DF" w:rsidRPr="00627DA0">
        <w:t>the assumption that the home’s heating system has already been upgraded. Similarly, the heating system measures a</w:t>
      </w:r>
      <w:r w:rsidR="00770995" w:rsidRPr="00627DA0">
        <w:t xml:space="preserve">re quantified based on the assumption that the home has already been weatherized. This approach is conservative </w:t>
      </w:r>
      <w:r w:rsidR="00D06697" w:rsidRPr="00627DA0">
        <w:t>but prevents double counting savings over the long term as homes are likely to install both measures.</w:t>
      </w:r>
    </w:p>
    <w:p w14:paraId="7CE6AD14" w14:textId="3CFEEE35" w:rsidR="00F4341B" w:rsidRPr="00627DA0" w:rsidRDefault="00F4341B" w:rsidP="000600E5">
      <w:r w:rsidRPr="00627DA0">
        <w:t xml:space="preserve">Measure savings also </w:t>
      </w:r>
      <w:r w:rsidR="0092368D" w:rsidRPr="00627DA0">
        <w:t xml:space="preserve">consider </w:t>
      </w:r>
      <w:r w:rsidRPr="00627DA0">
        <w:t xml:space="preserve">measure interaction. </w:t>
      </w:r>
      <w:r w:rsidR="00324A24" w:rsidRPr="00627DA0">
        <w:t>I</w:t>
      </w:r>
      <w:r w:rsidR="00A23526" w:rsidRPr="00627DA0">
        <w:t xml:space="preserve">nteraction </w:t>
      </w:r>
      <w:r w:rsidR="00324A24" w:rsidRPr="00627DA0">
        <w:t>occurs when measures in one end use impact the energy use of other end uses. Examples of this include energy efficient lighting and other appliances. The efficiency of these appliances results in less wasted energy released as heat</w:t>
      </w:r>
      <w:r w:rsidR="00EE4758" w:rsidRPr="00627DA0">
        <w:t>, which</w:t>
      </w:r>
      <w:r w:rsidR="00324A24" w:rsidRPr="00627DA0">
        <w:t xml:space="preserve"> impacts t</w:t>
      </w:r>
      <w:r w:rsidR="00014330" w:rsidRPr="00627DA0">
        <w:t>he demands on</w:t>
      </w:r>
      <w:r w:rsidR="00324A24" w:rsidRPr="00627DA0">
        <w:t xml:space="preserve"> heating and cooling system</w:t>
      </w:r>
      <w:r w:rsidR="00014330" w:rsidRPr="00627DA0">
        <w:t>s</w:t>
      </w:r>
      <w:r w:rsidR="00324A24" w:rsidRPr="00627DA0">
        <w:t xml:space="preserve">. </w:t>
      </w:r>
    </w:p>
    <w:p w14:paraId="4AC23F25" w14:textId="2F04465F" w:rsidR="00324A24" w:rsidRPr="00627DA0" w:rsidRDefault="00324A24" w:rsidP="000600E5">
      <w:r w:rsidRPr="00627DA0">
        <w:t>These measure characteristics</w:t>
      </w:r>
      <w:r w:rsidR="008101BB" w:rsidRPr="00627DA0">
        <w:t xml:space="preserve">, along with </w:t>
      </w:r>
      <w:r w:rsidR="00E32D05" w:rsidRPr="00627DA0">
        <w:t xml:space="preserve">the </w:t>
      </w:r>
      <w:r w:rsidR="004357C0" w:rsidRPr="00627DA0">
        <w:t xml:space="preserve">economic </w:t>
      </w:r>
      <w:r w:rsidR="00E32D05" w:rsidRPr="00627DA0">
        <w:t>assumptions,</w:t>
      </w:r>
      <w:r w:rsidRPr="00627DA0">
        <w:t xml:space="preserve"> are used as inputs to the Council’s ProCost tool. This tool determines the savings at the generator, factoring in line losses, as well as the demand savings that occur coincident with </w:t>
      </w:r>
      <w:r w:rsidR="0032364D" w:rsidRPr="00627DA0">
        <w:t>Inland Power</w:t>
      </w:r>
      <w:r w:rsidRPr="00627DA0">
        <w:t xml:space="preserve">’s system peak. </w:t>
      </w:r>
      <w:r w:rsidR="008A0BD9" w:rsidRPr="00627DA0">
        <w:t>The outputs of ProCost are used to calculate</w:t>
      </w:r>
      <w:r w:rsidRPr="00627DA0">
        <w:t xml:space="preserve"> </w:t>
      </w:r>
      <w:r w:rsidR="00C939E6" w:rsidRPr="00627DA0">
        <w:t xml:space="preserve">each measure’s </w:t>
      </w:r>
      <w:r w:rsidRPr="00627DA0">
        <w:t>levelized cost</w:t>
      </w:r>
      <w:r w:rsidR="006C2CA7" w:rsidRPr="00627DA0">
        <w:t xml:space="preserve"> </w:t>
      </w:r>
      <w:r w:rsidR="00B56319" w:rsidRPr="00627DA0">
        <w:t>and benefit-cost ratio</w:t>
      </w:r>
      <w:r w:rsidR="00C939E6" w:rsidRPr="00627DA0">
        <w:t>, the latter of which</w:t>
      </w:r>
      <w:r w:rsidR="00B56319" w:rsidRPr="00627DA0">
        <w:t xml:space="preserve"> </w:t>
      </w:r>
      <w:r w:rsidR="008A687F" w:rsidRPr="00627DA0">
        <w:t xml:space="preserve">is </w:t>
      </w:r>
      <w:r w:rsidR="0001014A" w:rsidRPr="00627DA0">
        <w:t>used to determine whether the measure is cost-effective</w:t>
      </w:r>
      <w:r w:rsidR="006C2CA7" w:rsidRPr="00627DA0">
        <w:t>.</w:t>
      </w:r>
    </w:p>
    <w:p w14:paraId="1154689F" w14:textId="60DDD462" w:rsidR="00324A24" w:rsidRPr="00627DA0" w:rsidRDefault="00324A24" w:rsidP="00E95DF6">
      <w:pPr>
        <w:pStyle w:val="Heading2"/>
      </w:pPr>
      <w:bookmarkStart w:id="43" w:name="_Toc207870664"/>
      <w:r w:rsidRPr="00627DA0">
        <w:t>Customer Characteristics</w:t>
      </w:r>
      <w:bookmarkEnd w:id="43"/>
    </w:p>
    <w:p w14:paraId="00A82882" w14:textId="2AE7CB7F" w:rsidR="00B0112B" w:rsidRPr="00627DA0" w:rsidRDefault="00324A24" w:rsidP="000600E5">
      <w:r w:rsidRPr="00627DA0">
        <w:t>The assessment of customer characteristics is used to determine the number of remaining measure installation opportunities</w:t>
      </w:r>
      <w:r w:rsidR="0071155E" w:rsidRPr="00627DA0">
        <w:t xml:space="preserve"> for each measure</w:t>
      </w:r>
      <w:r w:rsidRPr="00627DA0">
        <w:t xml:space="preserve">. This </w:t>
      </w:r>
      <w:r w:rsidR="00A216DD" w:rsidRPr="00627DA0">
        <w:t xml:space="preserve">requires </w:t>
      </w:r>
      <w:r w:rsidR="00611CAB" w:rsidRPr="00627DA0">
        <w:t xml:space="preserve">identifying </w:t>
      </w:r>
      <w:r w:rsidRPr="00627DA0">
        <w:t xml:space="preserve">the number of opportunities overall as well as the share that </w:t>
      </w:r>
      <w:r w:rsidR="00711CEE" w:rsidRPr="00627DA0">
        <w:t>has</w:t>
      </w:r>
      <w:r w:rsidRPr="00627DA0">
        <w:t xml:space="preserve"> already been completed.</w:t>
      </w:r>
      <w:r w:rsidR="00093D35" w:rsidRPr="00627DA0">
        <w:t xml:space="preserve"> The characterization of </w:t>
      </w:r>
      <w:r w:rsidR="0032364D" w:rsidRPr="00627DA0">
        <w:t>Inland Power</w:t>
      </w:r>
      <w:r w:rsidR="00093D35" w:rsidRPr="00627DA0">
        <w:t xml:space="preserve">’s customer base was completed </w:t>
      </w:r>
      <w:r w:rsidR="00184D3D" w:rsidRPr="00627DA0">
        <w:t xml:space="preserve">primarily </w:t>
      </w:r>
      <w:r w:rsidR="00093D35" w:rsidRPr="00627DA0">
        <w:t xml:space="preserve">using data provided by </w:t>
      </w:r>
      <w:r w:rsidR="0032364D" w:rsidRPr="00627DA0">
        <w:t>Inland Power</w:t>
      </w:r>
      <w:r w:rsidR="00093D35" w:rsidRPr="00627DA0">
        <w:t xml:space="preserve">, NEEA’s </w:t>
      </w:r>
      <w:r w:rsidR="00B87065" w:rsidRPr="00627DA0">
        <w:t>c</w:t>
      </w:r>
      <w:r w:rsidR="00093D35" w:rsidRPr="00627DA0">
        <w:t xml:space="preserve">ommercial and residential building stock assessments, </w:t>
      </w:r>
      <w:r w:rsidR="00184D3D" w:rsidRPr="00627DA0">
        <w:t xml:space="preserve">and </w:t>
      </w:r>
      <w:r w:rsidR="00876447" w:rsidRPr="00627DA0">
        <w:t>U</w:t>
      </w:r>
      <w:r w:rsidR="00BF4EA7" w:rsidRPr="00627DA0">
        <w:t>S</w:t>
      </w:r>
      <w:r w:rsidR="00876447" w:rsidRPr="00627DA0">
        <w:t xml:space="preserve"> C</w:t>
      </w:r>
      <w:r w:rsidR="00093D35" w:rsidRPr="00627DA0">
        <w:t>ensus data</w:t>
      </w:r>
      <w:r w:rsidR="00184D3D" w:rsidRPr="00627DA0">
        <w:t xml:space="preserve">. </w:t>
      </w:r>
      <w:r w:rsidR="002D2BCC" w:rsidRPr="00627DA0">
        <w:t xml:space="preserve">Additional data sources </w:t>
      </w:r>
      <w:r w:rsidR="00BA4F2F" w:rsidRPr="00627DA0">
        <w:t xml:space="preserve">and further details by sector are </w:t>
      </w:r>
      <w:r w:rsidR="00093D35" w:rsidRPr="00627DA0">
        <w:t>described subsequently in this report.</w:t>
      </w:r>
    </w:p>
    <w:p w14:paraId="4B1696C8" w14:textId="7749A5A5" w:rsidR="00093D35" w:rsidRPr="00627DA0" w:rsidRDefault="00093D35" w:rsidP="000600E5">
      <w:r w:rsidRPr="00627DA0">
        <w:t xml:space="preserve">This CPA used baseline measure saturation data from the Council’s </w:t>
      </w:r>
      <w:r w:rsidR="006C2CA7" w:rsidRPr="00627DA0">
        <w:t xml:space="preserve">2021 </w:t>
      </w:r>
      <w:r w:rsidR="00DD00EA" w:rsidRPr="00627DA0">
        <w:t xml:space="preserve">Power </w:t>
      </w:r>
      <w:r w:rsidR="006C2CA7" w:rsidRPr="00627DA0">
        <w:t>Plan</w:t>
      </w:r>
      <w:r w:rsidRPr="00627DA0">
        <w:t>. This data was developed from NEEA’s stock assessments, market research, and other studies. This data was supplement</w:t>
      </w:r>
      <w:r w:rsidR="00650AD1" w:rsidRPr="00627DA0">
        <w:t xml:space="preserve">ed with </w:t>
      </w:r>
      <w:r w:rsidR="0032364D" w:rsidRPr="00627DA0">
        <w:t>Inland Power</w:t>
      </w:r>
      <w:r w:rsidRPr="00627DA0">
        <w:t>’s conservation achievements</w:t>
      </w:r>
      <w:r w:rsidR="00DD00EA" w:rsidRPr="00627DA0">
        <w:t>,</w:t>
      </w:r>
      <w:r w:rsidRPr="00627DA0">
        <w:t xml:space="preserve"> where applicable. This achievement is discussed in the next section.</w:t>
      </w:r>
    </w:p>
    <w:p w14:paraId="7728746F" w14:textId="2D250C22" w:rsidR="00093D35" w:rsidRPr="00627DA0" w:rsidRDefault="00093D35" w:rsidP="00E95DF6">
      <w:pPr>
        <w:pStyle w:val="Heading2"/>
      </w:pPr>
      <w:bookmarkStart w:id="44" w:name="_Toc207870665"/>
      <w:r w:rsidRPr="00627DA0">
        <w:t>Energy Efficiency Potential</w:t>
      </w:r>
      <w:bookmarkEnd w:id="44"/>
    </w:p>
    <w:p w14:paraId="66597D3E" w14:textId="641661B6" w:rsidR="003E4A17" w:rsidRPr="00627DA0" w:rsidRDefault="00093D35" w:rsidP="003E4A17">
      <w:r w:rsidRPr="00627DA0">
        <w:t xml:space="preserve">The energy efficiency measure data and customer characteristics are combined in </w:t>
      </w:r>
      <w:r w:rsidR="002579A0" w:rsidRPr="00627DA0">
        <w:t>Lighthouse’s</w:t>
      </w:r>
      <w:r w:rsidRPr="00627DA0">
        <w:t xml:space="preserve"> CPA model. </w:t>
      </w:r>
      <w:r w:rsidR="003E4A17" w:rsidRPr="00627DA0">
        <w:t xml:space="preserve">The model estimates the economic </w:t>
      </w:r>
      <w:r w:rsidR="00124F4B" w:rsidRPr="00627DA0">
        <w:t>(</w:t>
      </w:r>
      <w:r w:rsidR="003E4A17" w:rsidRPr="00627DA0">
        <w:t>or cost-effective</w:t>
      </w:r>
      <w:r w:rsidR="00124F4B" w:rsidRPr="00627DA0">
        <w:t>)</w:t>
      </w:r>
      <w:r w:rsidR="003E4A17" w:rsidRPr="00627DA0">
        <w:t xml:space="preserve"> energy efficiency savings potential </w:t>
      </w:r>
      <w:r w:rsidR="00456C63" w:rsidRPr="00627DA0">
        <w:t xml:space="preserve">as a subset of </w:t>
      </w:r>
      <w:r w:rsidR="00443E56" w:rsidRPr="00627DA0">
        <w:t xml:space="preserve">the technical and achievable potential </w:t>
      </w:r>
      <w:r w:rsidR="00C66567" w:rsidRPr="00627DA0">
        <w:t xml:space="preserve">based on the </w:t>
      </w:r>
      <w:r w:rsidR="009E413C" w:rsidRPr="00627DA0">
        <w:t>process</w:t>
      </w:r>
      <w:r w:rsidR="00C66567" w:rsidRPr="00627DA0">
        <w:t xml:space="preserve"> shown in</w:t>
      </w:r>
      <w:r w:rsidR="003E4A17" w:rsidRPr="00627DA0">
        <w:t xml:space="preserve"> </w:t>
      </w:r>
      <w:r w:rsidR="003E4A17" w:rsidRPr="00627DA0">
        <w:fldChar w:fldCharType="begin"/>
      </w:r>
      <w:r w:rsidR="003E4A17" w:rsidRPr="00627DA0">
        <w:instrText xml:space="preserve"> REF _Ref48565807 \h </w:instrText>
      </w:r>
      <w:r w:rsidR="003E4A17" w:rsidRPr="00627DA0">
        <w:fldChar w:fldCharType="separate"/>
      </w:r>
      <w:r w:rsidR="00431297" w:rsidRPr="00627DA0">
        <w:t>Figure 7</w:t>
      </w:r>
      <w:r w:rsidR="003E4A17" w:rsidRPr="00627DA0">
        <w:fldChar w:fldCharType="end"/>
      </w:r>
      <w:r w:rsidR="003E4A17" w:rsidRPr="00627DA0">
        <w:t xml:space="preserve">. Each type of potential is discussed in further detail below. </w:t>
      </w:r>
    </w:p>
    <w:p w14:paraId="014F3BD6" w14:textId="12268E90" w:rsidR="00093D35" w:rsidRPr="00627DA0" w:rsidRDefault="00093D35" w:rsidP="00093D35">
      <w:r w:rsidRPr="00627DA0">
        <w:t xml:space="preserve"> </w:t>
      </w:r>
    </w:p>
    <w:p w14:paraId="5E025ADB" w14:textId="52816098" w:rsidR="00093D35" w:rsidRPr="00627DA0" w:rsidRDefault="00093D35" w:rsidP="00093D35">
      <w:pPr>
        <w:pStyle w:val="Caption"/>
      </w:pPr>
      <w:bookmarkStart w:id="45" w:name="_Ref48565807"/>
      <w:bookmarkStart w:id="46" w:name="_Toc207870706"/>
      <w:r w:rsidRPr="00627DA0">
        <w:lastRenderedPageBreak/>
        <w:t xml:space="preserve">Figure </w:t>
      </w:r>
      <w:fldSimple w:instr=" SEQ Figure \* ARABIC ">
        <w:r w:rsidR="00431297" w:rsidRPr="00627DA0">
          <w:t>7</w:t>
        </w:r>
      </w:fldSimple>
      <w:bookmarkEnd w:id="45"/>
      <w:r w:rsidRPr="00627DA0">
        <w:t>: Types of Energy Efficiency Potential</w:t>
      </w:r>
      <w:bookmarkEnd w:id="46"/>
    </w:p>
    <w:p w14:paraId="4635BB1C" w14:textId="71C9FD71" w:rsidR="000412BA" w:rsidRPr="00627DA0" w:rsidRDefault="002579A0" w:rsidP="00093D35">
      <w:pPr>
        <w:jc w:val="center"/>
      </w:pPr>
      <w:r w:rsidRPr="00627DA0">
        <w:drawing>
          <wp:inline distT="0" distB="0" distL="0" distR="0" wp14:anchorId="6D0CB9AE" wp14:editId="1C3C3C21">
            <wp:extent cx="4238625" cy="1809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1809750"/>
                    </a:xfrm>
                    <a:prstGeom prst="rect">
                      <a:avLst/>
                    </a:prstGeom>
                    <a:noFill/>
                    <a:ln>
                      <a:noFill/>
                    </a:ln>
                  </pic:spPr>
                </pic:pic>
              </a:graphicData>
            </a:graphic>
          </wp:inline>
        </w:drawing>
      </w:r>
    </w:p>
    <w:p w14:paraId="470C409B" w14:textId="14A690EA" w:rsidR="00CB0994" w:rsidRPr="00627DA0" w:rsidRDefault="00093D35" w:rsidP="000600E5">
      <w:r w:rsidRPr="00627DA0">
        <w:t xml:space="preserve">First, technical potential </w:t>
      </w:r>
      <w:r w:rsidR="00CB0994" w:rsidRPr="00627DA0">
        <w:t xml:space="preserve">is the theoretical maximum of energy efficiency available, regardless of cost or market constraints. It is determined by multiplying the measure savings by the number of remaining </w:t>
      </w:r>
      <w:r w:rsidR="0012062A" w:rsidRPr="00627DA0">
        <w:t xml:space="preserve">feasible installation </w:t>
      </w:r>
      <w:r w:rsidR="00CB0994" w:rsidRPr="00627DA0">
        <w:t>opportunities.</w:t>
      </w:r>
    </w:p>
    <w:p w14:paraId="4F1CE3EB" w14:textId="02311CBC" w:rsidR="00815DBD" w:rsidRPr="00627DA0" w:rsidRDefault="00CB0994" w:rsidP="000600E5">
      <w:r w:rsidRPr="00627DA0">
        <w:t>The model then applies several filters that incorporate market and adoption barriers</w:t>
      </w:r>
      <w:r w:rsidR="0017259D" w:rsidRPr="00627DA0">
        <w:t xml:space="preserve"> to estimate the </w:t>
      </w:r>
      <w:r w:rsidR="007B577B" w:rsidRPr="00627DA0">
        <w:t>achievable</w:t>
      </w:r>
      <w:r w:rsidRPr="00627DA0">
        <w:t xml:space="preserve"> potential. These filters include assumption</w:t>
      </w:r>
      <w:r w:rsidR="0093320D" w:rsidRPr="00627DA0">
        <w:t>s</w:t>
      </w:r>
      <w:r w:rsidRPr="00627DA0">
        <w:t xml:space="preserve"> about the maximum potential adoption and the pace of annual achievements. Energy efficiency planners generally assume that not all measure opportunities will be installed</w:t>
      </w:r>
      <w:r w:rsidR="00360D70" w:rsidRPr="00627DA0">
        <w:t xml:space="preserve">; </w:t>
      </w:r>
      <w:r w:rsidRPr="00627DA0">
        <w:t xml:space="preserve">some portion of the technically possible measure opportunities will remain unavailable due to unsurmountable barriers. In the </w:t>
      </w:r>
      <w:r w:rsidR="00875EB6" w:rsidRPr="00627DA0">
        <w:t>Northwest</w:t>
      </w:r>
      <w:r w:rsidRPr="00627DA0">
        <w:t xml:space="preserve">, </w:t>
      </w:r>
      <w:r w:rsidR="004F1261" w:rsidRPr="00627DA0">
        <w:t xml:space="preserve">energy efficiency planners typically assume </w:t>
      </w:r>
      <w:r w:rsidRPr="00627DA0">
        <w:t>t</w:t>
      </w:r>
      <w:r w:rsidR="004F1261" w:rsidRPr="00627DA0">
        <w:t>hat</w:t>
      </w:r>
      <w:r w:rsidRPr="00627DA0">
        <w:t xml:space="preserve"> 85% of all measure opportunities can be achieved. This assumption comes from a pilot study conducted in Hood River, Oregon, where home weatherization measures were offered at no cost. The pilot was able to reach over 90% of homes and complete 85% of identified measure opportunities.</w:t>
      </w:r>
      <w:r w:rsidR="009A777B" w:rsidRPr="00627DA0">
        <w:rPr>
          <w:rStyle w:val="FootnoteReference"/>
        </w:rPr>
        <w:footnoteReference w:id="7"/>
      </w:r>
      <w:r w:rsidR="00F74F8D" w:rsidRPr="00627DA0">
        <w:t xml:space="preserve"> In the 2021 </w:t>
      </w:r>
      <w:r w:rsidR="00B1765D" w:rsidRPr="00627DA0">
        <w:t xml:space="preserve">Power </w:t>
      </w:r>
      <w:r w:rsidR="00F74F8D" w:rsidRPr="00627DA0">
        <w:t xml:space="preserve">Plan, </w:t>
      </w:r>
      <w:r w:rsidR="00B1765D" w:rsidRPr="00627DA0">
        <w:t xml:space="preserve">the </w:t>
      </w:r>
      <w:r w:rsidR="00F74F8D" w:rsidRPr="00627DA0">
        <w:t xml:space="preserve">Council </w:t>
      </w:r>
      <w:r w:rsidR="00B1765D" w:rsidRPr="00627DA0">
        <w:t xml:space="preserve">has </w:t>
      </w:r>
      <w:r w:rsidR="00F74F8D" w:rsidRPr="00627DA0">
        <w:t>taken a more nuanced approach to this assumption. Measures that are likely to be subject to future codes or product standards have higher maximum achievability assumptions.</w:t>
      </w:r>
      <w:r w:rsidR="00A10659" w:rsidRPr="00627DA0">
        <w:t xml:space="preserve"> This CPA follows the Council’s new approach.</w:t>
      </w:r>
    </w:p>
    <w:p w14:paraId="0CC677BF" w14:textId="270B2E83" w:rsidR="009D0B83" w:rsidRPr="00627DA0" w:rsidRDefault="00A10659" w:rsidP="000600E5">
      <w:r w:rsidRPr="00627DA0">
        <w:t>In addition, r</w:t>
      </w:r>
      <w:r w:rsidR="009D0B83" w:rsidRPr="00627DA0">
        <w:t xml:space="preserve">amp rates are used to identify the portion of the available potential that can be acquired each year. The selection of ramp rates incorporates the different levels of program and market maturity as well as the practical constraints of what utility programs can accomplish in a given year. </w:t>
      </w:r>
    </w:p>
    <w:p w14:paraId="508F31E0" w14:textId="31DE9505" w:rsidR="00FC51C8" w:rsidRPr="00627DA0" w:rsidRDefault="009D0B83" w:rsidP="00FC51C8">
      <w:r w:rsidRPr="00627DA0">
        <w:t xml:space="preserve">Finally, economic potential is determined by limiting the achievable potential to those measures that pass an economic screen. </w:t>
      </w:r>
      <w:r w:rsidR="00E951D9" w:rsidRPr="00627DA0">
        <w:t xml:space="preserve">Per the EIA, this assessment uses the TRC test to determine economic potential. The TRC test considers all measure costs and benefits, regardless of who pays the cost or receives the benefit. The costs and benefits include the full incremental capital cost of the measure, any operations and maintenance costs, program administrative costs, avoided energy and carbon costs, deferred capacity costs, and quantifiable non-energy impacts. Because the TRC test considers the full cost of energy efficiency measures, </w:t>
      </w:r>
      <w:r w:rsidR="0032364D" w:rsidRPr="00627DA0">
        <w:t>Inland Power</w:t>
      </w:r>
      <w:r w:rsidR="00E951D9" w:rsidRPr="00627DA0">
        <w:t xml:space="preserve"> could pay up to the full cost of measures with its incentives without impacting the cost effectiveness</w:t>
      </w:r>
      <w:r w:rsidR="00AF3A48" w:rsidRPr="00627DA0">
        <w:t>. However,</w:t>
      </w:r>
      <w:r w:rsidR="00E951D9" w:rsidRPr="00627DA0">
        <w:t xml:space="preserve"> practical constraints such as annual program budgets and rate impacts may limit this. </w:t>
      </w:r>
    </w:p>
    <w:p w14:paraId="31922B48" w14:textId="16220856" w:rsidR="009D0B83" w:rsidRPr="00627DA0" w:rsidRDefault="009D0B83" w:rsidP="000600E5"/>
    <w:p w14:paraId="275CABED" w14:textId="77777777" w:rsidR="00F14768" w:rsidRPr="00627DA0" w:rsidRDefault="00F14768" w:rsidP="00F14768">
      <w:pPr>
        <w:pStyle w:val="Heading1"/>
      </w:pPr>
      <w:bookmarkStart w:id="47" w:name="_Toc207870666"/>
      <w:r w:rsidRPr="00627DA0">
        <w:lastRenderedPageBreak/>
        <w:t>Customer Characteristics</w:t>
      </w:r>
      <w:bookmarkEnd w:id="47"/>
    </w:p>
    <w:p w14:paraId="293C5BF9" w14:textId="0727B768" w:rsidR="00F14768" w:rsidRPr="00627DA0" w:rsidRDefault="00F14768" w:rsidP="00F14768">
      <w:r w:rsidRPr="00627DA0">
        <w:t xml:space="preserve">This section describes the characterization of </w:t>
      </w:r>
      <w:r w:rsidR="0032364D" w:rsidRPr="00627DA0">
        <w:t>Inland Power</w:t>
      </w:r>
      <w:r w:rsidRPr="00627DA0">
        <w:t xml:space="preserve">’s customers, which is an essential component of a CPA. It includes defining the makeup and characteristics of each sector, which determines the type and quantity of opportunities to implement energy efficiency measures. Additional information about the local climate and population of the service territory is used to characterize </w:t>
      </w:r>
      <w:r w:rsidR="00644119" w:rsidRPr="00627DA0">
        <w:t xml:space="preserve">certain </w:t>
      </w:r>
      <w:r w:rsidRPr="00627DA0">
        <w:t xml:space="preserve">measures. This information is summarized in </w:t>
      </w:r>
      <w:r w:rsidRPr="00627DA0">
        <w:fldChar w:fldCharType="begin"/>
      </w:r>
      <w:r w:rsidRPr="00627DA0">
        <w:instrText xml:space="preserve"> REF _Ref48641339 \h </w:instrText>
      </w:r>
      <w:r w:rsidRPr="00627DA0">
        <w:fldChar w:fldCharType="separate"/>
      </w:r>
      <w:r w:rsidR="00431297" w:rsidRPr="00627DA0">
        <w:t>Table 4</w:t>
      </w:r>
      <w:r w:rsidRPr="00627DA0">
        <w:fldChar w:fldCharType="end"/>
      </w:r>
      <w:r w:rsidRPr="00627DA0">
        <w:t>.</w:t>
      </w:r>
    </w:p>
    <w:p w14:paraId="0BA11945" w14:textId="1D264FF2" w:rsidR="00F14768" w:rsidRPr="00627DA0" w:rsidRDefault="00F14768" w:rsidP="00F14768">
      <w:pPr>
        <w:pStyle w:val="Caption"/>
      </w:pPr>
      <w:bookmarkStart w:id="48" w:name="_Ref48641339"/>
      <w:bookmarkStart w:id="49" w:name="_Ref48641334"/>
      <w:bookmarkStart w:id="50" w:name="_Toc207870733"/>
      <w:r w:rsidRPr="00627DA0">
        <w:t xml:space="preserve">Table </w:t>
      </w:r>
      <w:fldSimple w:instr=" SEQ Table \* ARABIC ">
        <w:r w:rsidR="00431297" w:rsidRPr="00627DA0">
          <w:t>4</w:t>
        </w:r>
      </w:fldSimple>
      <w:bookmarkEnd w:id="48"/>
      <w:r w:rsidRPr="00627DA0">
        <w:t>: Service Territory Characteristics</w:t>
      </w:r>
      <w:bookmarkEnd w:id="49"/>
      <w:bookmarkEnd w:id="50"/>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354"/>
        <w:gridCol w:w="2243"/>
        <w:gridCol w:w="2404"/>
      </w:tblGrid>
      <w:tr w:rsidR="00F14768" w:rsidRPr="00627DA0" w14:paraId="2771E0EB" w14:textId="77777777" w:rsidTr="00D00767">
        <w:trPr>
          <w:trHeight w:val="259"/>
          <w:jc w:val="center"/>
        </w:trPr>
        <w:tc>
          <w:tcPr>
            <w:tcW w:w="2359" w:type="dxa"/>
            <w:shd w:val="clear" w:color="auto" w:fill="00205C" w:themeFill="accent1" w:themeFillShade="BF"/>
          </w:tcPr>
          <w:p w14:paraId="3E531192" w14:textId="77777777" w:rsidR="00F14768" w:rsidRPr="00627DA0" w:rsidRDefault="00F14768" w:rsidP="00D00767">
            <w:pPr>
              <w:jc w:val="center"/>
              <w:rPr>
                <w:b/>
                <w:bCs/>
                <w:sz w:val="20"/>
                <w:szCs w:val="20"/>
              </w:rPr>
            </w:pPr>
            <w:r w:rsidRPr="00627DA0">
              <w:rPr>
                <w:b/>
                <w:bCs/>
                <w:sz w:val="20"/>
                <w:szCs w:val="20"/>
              </w:rPr>
              <w:t>Heating Zone</w:t>
            </w:r>
          </w:p>
        </w:tc>
        <w:tc>
          <w:tcPr>
            <w:tcW w:w="2354" w:type="dxa"/>
            <w:shd w:val="clear" w:color="auto" w:fill="00205C" w:themeFill="accent1" w:themeFillShade="BF"/>
          </w:tcPr>
          <w:p w14:paraId="13D5D14A" w14:textId="77777777" w:rsidR="00F14768" w:rsidRPr="00627DA0" w:rsidRDefault="00F14768" w:rsidP="00D00767">
            <w:pPr>
              <w:jc w:val="center"/>
              <w:rPr>
                <w:b/>
                <w:bCs/>
                <w:sz w:val="20"/>
                <w:szCs w:val="20"/>
              </w:rPr>
            </w:pPr>
            <w:r w:rsidRPr="00627DA0">
              <w:rPr>
                <w:b/>
                <w:bCs/>
                <w:sz w:val="20"/>
                <w:szCs w:val="20"/>
              </w:rPr>
              <w:t>Cooling Zone</w:t>
            </w:r>
          </w:p>
        </w:tc>
        <w:tc>
          <w:tcPr>
            <w:tcW w:w="2243" w:type="dxa"/>
            <w:shd w:val="clear" w:color="auto" w:fill="00205C" w:themeFill="accent1" w:themeFillShade="BF"/>
          </w:tcPr>
          <w:p w14:paraId="0CCACB5E" w14:textId="6253FAAC" w:rsidR="00F14768" w:rsidRPr="00627DA0" w:rsidRDefault="00F14768" w:rsidP="00D00767">
            <w:pPr>
              <w:jc w:val="center"/>
              <w:rPr>
                <w:b/>
                <w:bCs/>
                <w:sz w:val="20"/>
                <w:szCs w:val="20"/>
              </w:rPr>
            </w:pPr>
            <w:r w:rsidRPr="00627DA0">
              <w:rPr>
                <w:b/>
                <w:bCs/>
                <w:sz w:val="20"/>
                <w:szCs w:val="20"/>
              </w:rPr>
              <w:t>Total Homes (202</w:t>
            </w:r>
            <w:r w:rsidR="00CF3F45" w:rsidRPr="00627DA0">
              <w:rPr>
                <w:b/>
                <w:bCs/>
                <w:sz w:val="20"/>
                <w:szCs w:val="20"/>
              </w:rPr>
              <w:t>4</w:t>
            </w:r>
            <w:r w:rsidRPr="00627DA0">
              <w:rPr>
                <w:b/>
                <w:bCs/>
                <w:sz w:val="20"/>
                <w:szCs w:val="20"/>
              </w:rPr>
              <w:t>)</w:t>
            </w:r>
          </w:p>
        </w:tc>
        <w:tc>
          <w:tcPr>
            <w:tcW w:w="2404" w:type="dxa"/>
            <w:shd w:val="clear" w:color="auto" w:fill="00205C" w:themeFill="accent1" w:themeFillShade="BF"/>
          </w:tcPr>
          <w:p w14:paraId="5AE89390" w14:textId="2D0D76B3" w:rsidR="00F14768" w:rsidRPr="00627DA0" w:rsidRDefault="00F14768" w:rsidP="00D00767">
            <w:pPr>
              <w:jc w:val="center"/>
              <w:rPr>
                <w:b/>
                <w:bCs/>
                <w:sz w:val="20"/>
                <w:szCs w:val="20"/>
              </w:rPr>
            </w:pPr>
            <w:r w:rsidRPr="00627DA0">
              <w:rPr>
                <w:b/>
                <w:bCs/>
                <w:sz w:val="20"/>
                <w:szCs w:val="20"/>
              </w:rPr>
              <w:t>Total Population (202</w:t>
            </w:r>
            <w:r w:rsidR="00CF3F45" w:rsidRPr="00627DA0">
              <w:rPr>
                <w:b/>
                <w:bCs/>
                <w:sz w:val="20"/>
                <w:szCs w:val="20"/>
              </w:rPr>
              <w:t>3</w:t>
            </w:r>
            <w:r w:rsidRPr="00627DA0">
              <w:rPr>
                <w:b/>
                <w:bCs/>
                <w:sz w:val="20"/>
                <w:szCs w:val="20"/>
              </w:rPr>
              <w:t>)</w:t>
            </w:r>
          </w:p>
        </w:tc>
      </w:tr>
      <w:tr w:rsidR="00F14768" w:rsidRPr="00627DA0" w14:paraId="287FF66C" w14:textId="77777777" w:rsidTr="004D23EA">
        <w:trPr>
          <w:trHeight w:val="259"/>
          <w:jc w:val="center"/>
        </w:trPr>
        <w:tc>
          <w:tcPr>
            <w:tcW w:w="2359" w:type="dxa"/>
            <w:vAlign w:val="center"/>
          </w:tcPr>
          <w:p w14:paraId="56CE5689" w14:textId="37A1F2D7" w:rsidR="00F14768" w:rsidRPr="00627DA0" w:rsidRDefault="00456706" w:rsidP="00AF3A48">
            <w:pPr>
              <w:jc w:val="center"/>
              <w:rPr>
                <w:sz w:val="20"/>
                <w:szCs w:val="20"/>
              </w:rPr>
            </w:pPr>
            <w:r w:rsidRPr="00627DA0">
              <w:rPr>
                <w:sz w:val="20"/>
                <w:szCs w:val="20"/>
              </w:rPr>
              <w:t>2</w:t>
            </w:r>
          </w:p>
        </w:tc>
        <w:tc>
          <w:tcPr>
            <w:tcW w:w="2354" w:type="dxa"/>
            <w:vAlign w:val="center"/>
          </w:tcPr>
          <w:p w14:paraId="44DAA454" w14:textId="73BF88EC" w:rsidR="00F14768" w:rsidRPr="00627DA0" w:rsidRDefault="00456706" w:rsidP="00AF3A48">
            <w:pPr>
              <w:jc w:val="center"/>
              <w:rPr>
                <w:sz w:val="20"/>
                <w:szCs w:val="20"/>
              </w:rPr>
            </w:pPr>
            <w:r w:rsidRPr="00627DA0">
              <w:rPr>
                <w:sz w:val="20"/>
                <w:szCs w:val="20"/>
              </w:rPr>
              <w:t>2</w:t>
            </w:r>
          </w:p>
        </w:tc>
        <w:tc>
          <w:tcPr>
            <w:tcW w:w="2243" w:type="dxa"/>
            <w:vAlign w:val="center"/>
          </w:tcPr>
          <w:p w14:paraId="12DF0D33" w14:textId="359CCEE1" w:rsidR="00F14768" w:rsidRPr="00627DA0" w:rsidRDefault="00CF3F45" w:rsidP="00AF3A48">
            <w:pPr>
              <w:jc w:val="center"/>
              <w:rPr>
                <w:sz w:val="20"/>
                <w:szCs w:val="20"/>
              </w:rPr>
            </w:pPr>
            <w:r w:rsidRPr="00627DA0">
              <w:rPr>
                <w:sz w:val="20"/>
                <w:szCs w:val="20"/>
              </w:rPr>
              <w:t>40,607</w:t>
            </w:r>
          </w:p>
        </w:tc>
        <w:tc>
          <w:tcPr>
            <w:tcW w:w="2404" w:type="dxa"/>
            <w:vAlign w:val="center"/>
          </w:tcPr>
          <w:p w14:paraId="120A1979" w14:textId="5489B86F" w:rsidR="00F14768" w:rsidRPr="00627DA0" w:rsidRDefault="00CF3F45" w:rsidP="00AF3A48">
            <w:pPr>
              <w:jc w:val="center"/>
              <w:rPr>
                <w:sz w:val="20"/>
                <w:szCs w:val="20"/>
              </w:rPr>
            </w:pPr>
            <w:r w:rsidRPr="00627DA0">
              <w:rPr>
                <w:sz w:val="20"/>
                <w:szCs w:val="20"/>
              </w:rPr>
              <w:t>89,471</w:t>
            </w:r>
          </w:p>
        </w:tc>
      </w:tr>
    </w:tbl>
    <w:p w14:paraId="501D614E" w14:textId="77777777" w:rsidR="00F14768" w:rsidRPr="00627DA0" w:rsidRDefault="00F14768" w:rsidP="004D23EA"/>
    <w:p w14:paraId="5E145178" w14:textId="4E749749" w:rsidR="00EC75A4" w:rsidRPr="00627DA0" w:rsidRDefault="00F14768" w:rsidP="00320115">
      <w:r w:rsidRPr="00627DA0">
        <w:t xml:space="preserve">The number of homes was based on </w:t>
      </w:r>
      <w:r w:rsidR="00D800FF" w:rsidRPr="00627DA0">
        <w:t xml:space="preserve">data </w:t>
      </w:r>
      <w:r w:rsidR="00163EAC" w:rsidRPr="00627DA0">
        <w:t>reported to the US Energy Information Administration</w:t>
      </w:r>
      <w:r w:rsidR="005039A2" w:rsidRPr="00627DA0">
        <w:t xml:space="preserve"> (US EIA)</w:t>
      </w:r>
      <w:r w:rsidR="00531AFC" w:rsidRPr="00627DA0">
        <w:t xml:space="preserve"> and </w:t>
      </w:r>
      <w:r w:rsidR="002971BE" w:rsidRPr="00627DA0">
        <w:t xml:space="preserve">is </w:t>
      </w:r>
      <w:r w:rsidR="008647E0" w:rsidRPr="00627DA0">
        <w:t>less than a 1% decrease relative to</w:t>
      </w:r>
      <w:r w:rsidR="00531AFC" w:rsidRPr="00627DA0">
        <w:t xml:space="preserve"> </w:t>
      </w:r>
      <w:r w:rsidR="00245FB5" w:rsidRPr="00627DA0">
        <w:t xml:space="preserve">the initial value used in </w:t>
      </w:r>
      <w:r w:rsidR="0032364D" w:rsidRPr="00627DA0">
        <w:t>Inland Power</w:t>
      </w:r>
      <w:r w:rsidR="00531AFC" w:rsidRPr="00627DA0">
        <w:t>’s 2023 CPA.</w:t>
      </w:r>
      <w:r w:rsidR="006B4049" w:rsidRPr="00627DA0">
        <w:t xml:space="preserve"> The number of homes </w:t>
      </w:r>
      <w:r w:rsidR="004F6198" w:rsidRPr="00627DA0">
        <w:t xml:space="preserve">was projected to grow at </w:t>
      </w:r>
      <w:r w:rsidR="00DB1F7D" w:rsidRPr="00627DA0">
        <w:t>1.9</w:t>
      </w:r>
      <w:r w:rsidR="004F6198" w:rsidRPr="00627DA0">
        <w:t xml:space="preserve">%, </w:t>
      </w:r>
      <w:r w:rsidR="00F94DB5" w:rsidRPr="00627DA0">
        <w:t>based on</w:t>
      </w:r>
      <w:r w:rsidR="00F71D6A" w:rsidRPr="00627DA0">
        <w:t xml:space="preserve"> the long-term trend of customer growth</w:t>
      </w:r>
      <w:r w:rsidR="00614AE5" w:rsidRPr="00627DA0">
        <w:t xml:space="preserve">. </w:t>
      </w:r>
      <w:r w:rsidR="00E11B47" w:rsidRPr="00627DA0">
        <w:t>This</w:t>
      </w:r>
      <w:r w:rsidR="00144C9D" w:rsidRPr="00627DA0">
        <w:t xml:space="preserve"> is a</w:t>
      </w:r>
      <w:r w:rsidR="00077B0C" w:rsidRPr="00627DA0">
        <w:t>n</w:t>
      </w:r>
      <w:r w:rsidR="00677FB5" w:rsidRPr="00627DA0">
        <w:t xml:space="preserve"> </w:t>
      </w:r>
      <w:r w:rsidR="004F13FA" w:rsidRPr="00627DA0">
        <w:t>in</w:t>
      </w:r>
      <w:r w:rsidR="00144C9D" w:rsidRPr="00627DA0">
        <w:t>crease from the growth rate</w:t>
      </w:r>
      <w:r w:rsidR="00EC75A4" w:rsidRPr="00627DA0">
        <w:t xml:space="preserve"> assumption</w:t>
      </w:r>
      <w:r w:rsidR="00144C9D" w:rsidRPr="00627DA0">
        <w:t xml:space="preserve"> used in the 2023 CPA</w:t>
      </w:r>
      <w:r w:rsidR="00624CFE" w:rsidRPr="00627DA0">
        <w:t>, 1.</w:t>
      </w:r>
      <w:r w:rsidR="00DB1F7D" w:rsidRPr="00627DA0">
        <w:t>5</w:t>
      </w:r>
      <w:r w:rsidR="00624CFE" w:rsidRPr="00627DA0">
        <w:t>%</w:t>
      </w:r>
      <w:r w:rsidR="00144C9D" w:rsidRPr="00627DA0">
        <w:t>.</w:t>
      </w:r>
    </w:p>
    <w:p w14:paraId="2C4AAE68" w14:textId="40E97254" w:rsidR="00320115" w:rsidRPr="00627DA0" w:rsidRDefault="00EC75A4" w:rsidP="00320115">
      <w:r w:rsidRPr="00627DA0">
        <w:t>Additionally, a</w:t>
      </w:r>
      <w:r w:rsidR="00320115" w:rsidRPr="00627DA0">
        <w:t xml:space="preserve"> demolition rate, based on assumptions for Washington State from the Council’s 2021 Power Plan, was also used. The demolition rate quantifies the number of existing homes that are converted to new homes through demolition or major renovations, where building codes for new homes apply.</w:t>
      </w:r>
    </w:p>
    <w:p w14:paraId="1D9B1284" w14:textId="760E8878" w:rsidR="001D579E" w:rsidRPr="00627DA0" w:rsidRDefault="001D579E" w:rsidP="001D579E">
      <w:r w:rsidRPr="00627DA0">
        <w:t xml:space="preserve">The population is based on census estimates for </w:t>
      </w:r>
      <w:r w:rsidR="00BD1168" w:rsidRPr="00627DA0">
        <w:t>Inland</w:t>
      </w:r>
      <w:r w:rsidR="006209FA" w:rsidRPr="00627DA0">
        <w:t xml:space="preserve"> Power service area zip codes in Washington.</w:t>
      </w:r>
      <w:r w:rsidRPr="00627DA0">
        <w:t xml:space="preserve"> </w:t>
      </w:r>
    </w:p>
    <w:p w14:paraId="0D02A837" w14:textId="77777777" w:rsidR="00F14768" w:rsidRPr="00627DA0" w:rsidRDefault="00F14768" w:rsidP="00F14768">
      <w:pPr>
        <w:pStyle w:val="Heading2"/>
        <w:spacing w:before="0"/>
      </w:pPr>
      <w:bookmarkStart w:id="51" w:name="_Toc207870667"/>
      <w:r w:rsidRPr="00627DA0">
        <w:t>Residential</w:t>
      </w:r>
      <w:bookmarkEnd w:id="51"/>
    </w:p>
    <w:p w14:paraId="39FBF75C" w14:textId="2E8A256B" w:rsidR="00F14768" w:rsidRPr="00627DA0" w:rsidRDefault="00F14768" w:rsidP="00F14768">
      <w:r w:rsidRPr="00627DA0">
        <w:t xml:space="preserve">Within the residential sector, the key characteristics are the number and type of homes as well as the saturation of end use appliances such as space and water heating equipment. </w:t>
      </w:r>
      <w:r w:rsidRPr="00627DA0">
        <w:fldChar w:fldCharType="begin"/>
      </w:r>
      <w:r w:rsidRPr="00627DA0">
        <w:instrText xml:space="preserve"> REF _Ref48641418 \h </w:instrText>
      </w:r>
      <w:r w:rsidRPr="00627DA0">
        <w:fldChar w:fldCharType="separate"/>
      </w:r>
      <w:r w:rsidR="00431297" w:rsidRPr="00627DA0">
        <w:t>Table 5</w:t>
      </w:r>
      <w:r w:rsidRPr="00627DA0">
        <w:fldChar w:fldCharType="end"/>
      </w:r>
      <w:r w:rsidR="003E3E86" w:rsidRPr="00627DA0">
        <w:t xml:space="preserve"> and </w:t>
      </w:r>
      <w:r w:rsidRPr="00627DA0">
        <w:t xml:space="preserve"> </w:t>
      </w:r>
      <w:r w:rsidR="00F85AB0" w:rsidRPr="00627DA0">
        <w:fldChar w:fldCharType="begin"/>
      </w:r>
      <w:r w:rsidR="00F85AB0" w:rsidRPr="00627DA0">
        <w:instrText xml:space="preserve"> REF _Ref206760487 \h </w:instrText>
      </w:r>
      <w:r w:rsidR="00F85AB0" w:rsidRPr="00627DA0">
        <w:fldChar w:fldCharType="separate"/>
      </w:r>
      <w:r w:rsidR="00431297" w:rsidRPr="00627DA0">
        <w:t>Table 6</w:t>
      </w:r>
      <w:r w:rsidR="00F85AB0" w:rsidRPr="00627DA0">
        <w:fldChar w:fldCharType="end"/>
      </w:r>
      <w:r w:rsidR="00F85AB0" w:rsidRPr="00627DA0">
        <w:t xml:space="preserve"> </w:t>
      </w:r>
      <w:r w:rsidRPr="00627DA0">
        <w:t>summarize the characteristics that were used for this assessment</w:t>
      </w:r>
      <w:r w:rsidR="00F85AB0" w:rsidRPr="00627DA0">
        <w:t xml:space="preserve"> for existing and new homes, respectively.</w:t>
      </w:r>
      <w:r w:rsidRPr="00627DA0">
        <w:t xml:space="preserve"> </w:t>
      </w:r>
    </w:p>
    <w:p w14:paraId="124D52CD" w14:textId="68ECA4F6" w:rsidR="00F14768" w:rsidRPr="00627DA0" w:rsidRDefault="00F14768" w:rsidP="00F14768">
      <w:pPr>
        <w:pStyle w:val="Caption"/>
      </w:pPr>
      <w:bookmarkStart w:id="52" w:name="_Ref48641418"/>
      <w:bookmarkStart w:id="53" w:name="_Toc207870734"/>
      <w:r w:rsidRPr="00627DA0">
        <w:t xml:space="preserve">Table </w:t>
      </w:r>
      <w:fldSimple w:instr=" SEQ Table \* ARABIC ">
        <w:r w:rsidR="00431297" w:rsidRPr="00627DA0">
          <w:t>5</w:t>
        </w:r>
      </w:fldSimple>
      <w:bookmarkEnd w:id="52"/>
      <w:r w:rsidRPr="00627DA0">
        <w:t xml:space="preserve">: Residential </w:t>
      </w:r>
      <w:r w:rsidR="003E3E86" w:rsidRPr="00627DA0">
        <w:t xml:space="preserve">Existing </w:t>
      </w:r>
      <w:r w:rsidRPr="00627DA0">
        <w:t>Home Characteristics</w:t>
      </w:r>
      <w:bookmarkEnd w:id="53"/>
    </w:p>
    <w:tbl>
      <w:tblPr>
        <w:tblStyle w:val="TableGrid"/>
        <w:tblW w:w="5000" w:type="pct"/>
        <w:tblBorders>
          <w:top w:val="single" w:sz="12" w:space="0" w:color="002C7C" w:themeColor="accent1"/>
          <w:left w:val="none" w:sz="0" w:space="0" w:color="auto"/>
          <w:bottom w:val="single" w:sz="12" w:space="0" w:color="002C7C" w:themeColor="accent1"/>
          <w:right w:val="none" w:sz="0" w:space="0" w:color="auto"/>
          <w:insideH w:val="none" w:sz="0" w:space="0" w:color="auto"/>
          <w:insideV w:val="none" w:sz="0" w:space="0" w:color="auto"/>
        </w:tblBorders>
        <w:tblLook w:val="04A0" w:firstRow="1" w:lastRow="0" w:firstColumn="1" w:lastColumn="0" w:noHBand="0" w:noVBand="1"/>
      </w:tblPr>
      <w:tblGrid>
        <w:gridCol w:w="2711"/>
        <w:gridCol w:w="1664"/>
        <w:gridCol w:w="1664"/>
        <w:gridCol w:w="1662"/>
        <w:gridCol w:w="1659"/>
      </w:tblGrid>
      <w:tr w:rsidR="00172C7A" w:rsidRPr="00627DA0" w14:paraId="1F6594FA" w14:textId="77777777" w:rsidTr="001C3228">
        <w:trPr>
          <w:trHeight w:val="371"/>
        </w:trPr>
        <w:tc>
          <w:tcPr>
            <w:tcW w:w="1448" w:type="pct"/>
            <w:tcBorders>
              <w:top w:val="single" w:sz="12" w:space="0" w:color="auto"/>
              <w:bottom w:val="nil"/>
            </w:tcBorders>
            <w:shd w:val="clear" w:color="auto" w:fill="00205C" w:themeFill="accent1" w:themeFillShade="BF"/>
          </w:tcPr>
          <w:p w14:paraId="3B6E35CD" w14:textId="77777777" w:rsidR="00172C7A" w:rsidRPr="00627DA0" w:rsidRDefault="00172C7A" w:rsidP="00D00767">
            <w:pPr>
              <w:pStyle w:val="TableContent"/>
              <w:rPr>
                <w:szCs w:val="20"/>
              </w:rPr>
            </w:pPr>
          </w:p>
        </w:tc>
        <w:tc>
          <w:tcPr>
            <w:tcW w:w="889" w:type="pct"/>
            <w:tcBorders>
              <w:top w:val="single" w:sz="12" w:space="0" w:color="auto"/>
              <w:bottom w:val="nil"/>
            </w:tcBorders>
            <w:shd w:val="clear" w:color="auto" w:fill="00205C" w:themeFill="accent1" w:themeFillShade="BF"/>
            <w:vAlign w:val="center"/>
          </w:tcPr>
          <w:p w14:paraId="0E12BD36" w14:textId="77777777" w:rsidR="00172C7A" w:rsidRPr="00627DA0" w:rsidRDefault="00172C7A" w:rsidP="00D00767">
            <w:pPr>
              <w:pStyle w:val="TableContent"/>
              <w:jc w:val="right"/>
              <w:rPr>
                <w:b/>
                <w:bCs/>
                <w:szCs w:val="20"/>
              </w:rPr>
            </w:pPr>
            <w:r w:rsidRPr="00627DA0">
              <w:rPr>
                <w:b/>
                <w:bCs/>
                <w:szCs w:val="20"/>
              </w:rPr>
              <w:t>Single Family</w:t>
            </w:r>
          </w:p>
        </w:tc>
        <w:tc>
          <w:tcPr>
            <w:tcW w:w="889" w:type="pct"/>
            <w:tcBorders>
              <w:top w:val="single" w:sz="12" w:space="0" w:color="auto"/>
              <w:bottom w:val="nil"/>
            </w:tcBorders>
            <w:shd w:val="clear" w:color="auto" w:fill="00205C" w:themeFill="accent1" w:themeFillShade="BF"/>
            <w:vAlign w:val="center"/>
          </w:tcPr>
          <w:p w14:paraId="7FF17BE2" w14:textId="77777777" w:rsidR="00172C7A" w:rsidRPr="00627DA0" w:rsidRDefault="00172C7A" w:rsidP="00D00767">
            <w:pPr>
              <w:pStyle w:val="TableContent"/>
              <w:jc w:val="right"/>
              <w:rPr>
                <w:b/>
                <w:bCs/>
                <w:szCs w:val="20"/>
              </w:rPr>
            </w:pPr>
            <w:r w:rsidRPr="00627DA0">
              <w:rPr>
                <w:b/>
                <w:bCs/>
                <w:szCs w:val="20"/>
              </w:rPr>
              <w:t>Low Rise Multifamily</w:t>
            </w:r>
          </w:p>
        </w:tc>
        <w:tc>
          <w:tcPr>
            <w:tcW w:w="888" w:type="pct"/>
            <w:tcBorders>
              <w:top w:val="single" w:sz="12" w:space="0" w:color="auto"/>
              <w:bottom w:val="nil"/>
            </w:tcBorders>
            <w:shd w:val="clear" w:color="auto" w:fill="00205C" w:themeFill="accent1" w:themeFillShade="BF"/>
          </w:tcPr>
          <w:p w14:paraId="61CCEE48" w14:textId="751326CE" w:rsidR="00172C7A" w:rsidRPr="00627DA0" w:rsidRDefault="00172C7A" w:rsidP="00D00767">
            <w:pPr>
              <w:pStyle w:val="TableContent"/>
              <w:jc w:val="right"/>
              <w:rPr>
                <w:b/>
                <w:bCs/>
                <w:szCs w:val="20"/>
              </w:rPr>
            </w:pPr>
            <w:r w:rsidRPr="00627DA0">
              <w:rPr>
                <w:b/>
                <w:bCs/>
                <w:szCs w:val="20"/>
              </w:rPr>
              <w:t>High Rise Multifamily</w:t>
            </w:r>
          </w:p>
        </w:tc>
        <w:tc>
          <w:tcPr>
            <w:tcW w:w="886" w:type="pct"/>
            <w:tcBorders>
              <w:top w:val="single" w:sz="12" w:space="0" w:color="auto"/>
              <w:bottom w:val="nil"/>
            </w:tcBorders>
            <w:shd w:val="clear" w:color="auto" w:fill="00205C" w:themeFill="accent1" w:themeFillShade="BF"/>
            <w:vAlign w:val="center"/>
          </w:tcPr>
          <w:p w14:paraId="6FA1707E" w14:textId="0805CE6D" w:rsidR="00172C7A" w:rsidRPr="00627DA0" w:rsidRDefault="00172C7A" w:rsidP="00D00767">
            <w:pPr>
              <w:pStyle w:val="TableContent"/>
              <w:jc w:val="right"/>
              <w:rPr>
                <w:b/>
                <w:bCs/>
                <w:szCs w:val="20"/>
              </w:rPr>
            </w:pPr>
            <w:r w:rsidRPr="00627DA0">
              <w:rPr>
                <w:b/>
                <w:bCs/>
                <w:szCs w:val="20"/>
              </w:rPr>
              <w:t>Manufactured</w:t>
            </w:r>
          </w:p>
        </w:tc>
      </w:tr>
      <w:tr w:rsidR="00172C7A" w:rsidRPr="00627DA0" w14:paraId="44261CA3" w14:textId="77777777" w:rsidTr="001C3228">
        <w:trPr>
          <w:trHeight w:val="200"/>
        </w:trPr>
        <w:tc>
          <w:tcPr>
            <w:tcW w:w="1448" w:type="pct"/>
            <w:tcBorders>
              <w:top w:val="nil"/>
              <w:bottom w:val="single" w:sz="4" w:space="0" w:color="000000" w:themeColor="text1"/>
            </w:tcBorders>
          </w:tcPr>
          <w:p w14:paraId="1710F066" w14:textId="77777777" w:rsidR="00172C7A" w:rsidRPr="00627DA0" w:rsidRDefault="00172C7A" w:rsidP="00D00767">
            <w:pPr>
              <w:pStyle w:val="TableContent"/>
              <w:rPr>
                <w:szCs w:val="20"/>
              </w:rPr>
            </w:pPr>
            <w:r w:rsidRPr="00627DA0">
              <w:rPr>
                <w:szCs w:val="20"/>
              </w:rPr>
              <w:t>Share of Homes</w:t>
            </w:r>
          </w:p>
        </w:tc>
        <w:tc>
          <w:tcPr>
            <w:tcW w:w="889" w:type="pct"/>
            <w:tcBorders>
              <w:top w:val="nil"/>
              <w:bottom w:val="single" w:sz="4" w:space="0" w:color="000000" w:themeColor="text1"/>
            </w:tcBorders>
          </w:tcPr>
          <w:p w14:paraId="7FE327A8" w14:textId="30E06B70" w:rsidR="00172C7A" w:rsidRPr="00627DA0" w:rsidRDefault="00172C7A" w:rsidP="00D00767">
            <w:pPr>
              <w:pStyle w:val="TableContent"/>
              <w:jc w:val="right"/>
              <w:rPr>
                <w:szCs w:val="20"/>
              </w:rPr>
            </w:pPr>
            <w:r w:rsidRPr="00627DA0">
              <w:rPr>
                <w:szCs w:val="20"/>
              </w:rPr>
              <w:t>7</w:t>
            </w:r>
            <w:r w:rsidR="00B1242F" w:rsidRPr="00627DA0">
              <w:rPr>
                <w:szCs w:val="20"/>
              </w:rPr>
              <w:t>4</w:t>
            </w:r>
            <w:r w:rsidRPr="00627DA0">
              <w:rPr>
                <w:szCs w:val="20"/>
              </w:rPr>
              <w:t>%</w:t>
            </w:r>
          </w:p>
        </w:tc>
        <w:tc>
          <w:tcPr>
            <w:tcW w:w="889" w:type="pct"/>
            <w:tcBorders>
              <w:top w:val="nil"/>
              <w:bottom w:val="single" w:sz="4" w:space="0" w:color="000000" w:themeColor="text1"/>
            </w:tcBorders>
          </w:tcPr>
          <w:p w14:paraId="4875577C" w14:textId="3F3DC88D" w:rsidR="00172C7A" w:rsidRPr="00627DA0" w:rsidRDefault="00B1242F" w:rsidP="00D00767">
            <w:pPr>
              <w:pStyle w:val="TableContent"/>
              <w:jc w:val="right"/>
              <w:rPr>
                <w:szCs w:val="20"/>
              </w:rPr>
            </w:pPr>
            <w:r w:rsidRPr="00627DA0">
              <w:rPr>
                <w:szCs w:val="20"/>
              </w:rPr>
              <w:t>8</w:t>
            </w:r>
            <w:r w:rsidR="00172C7A" w:rsidRPr="00627DA0">
              <w:rPr>
                <w:szCs w:val="20"/>
              </w:rPr>
              <w:t>%</w:t>
            </w:r>
          </w:p>
        </w:tc>
        <w:tc>
          <w:tcPr>
            <w:tcW w:w="888" w:type="pct"/>
            <w:tcBorders>
              <w:top w:val="nil"/>
              <w:bottom w:val="single" w:sz="4" w:space="0" w:color="000000" w:themeColor="text1"/>
            </w:tcBorders>
          </w:tcPr>
          <w:p w14:paraId="4D155C95" w14:textId="7DF30D0F" w:rsidR="00172C7A" w:rsidRPr="00627DA0" w:rsidRDefault="00B1242F" w:rsidP="00D00767">
            <w:pPr>
              <w:pStyle w:val="TableContent"/>
              <w:jc w:val="right"/>
              <w:rPr>
                <w:szCs w:val="20"/>
              </w:rPr>
            </w:pPr>
            <w:r w:rsidRPr="00627DA0">
              <w:rPr>
                <w:szCs w:val="20"/>
              </w:rPr>
              <w:t>7</w:t>
            </w:r>
            <w:r w:rsidR="00172C7A" w:rsidRPr="00627DA0">
              <w:rPr>
                <w:szCs w:val="20"/>
              </w:rPr>
              <w:t>%</w:t>
            </w:r>
          </w:p>
        </w:tc>
        <w:tc>
          <w:tcPr>
            <w:tcW w:w="886" w:type="pct"/>
            <w:tcBorders>
              <w:top w:val="nil"/>
              <w:bottom w:val="single" w:sz="4" w:space="0" w:color="000000" w:themeColor="text1"/>
            </w:tcBorders>
          </w:tcPr>
          <w:p w14:paraId="0E21DCF3" w14:textId="01111FE6" w:rsidR="00172C7A" w:rsidRPr="00627DA0" w:rsidRDefault="00B1242F" w:rsidP="00D00767">
            <w:pPr>
              <w:pStyle w:val="TableContent"/>
              <w:jc w:val="right"/>
              <w:rPr>
                <w:szCs w:val="20"/>
              </w:rPr>
            </w:pPr>
            <w:r w:rsidRPr="00627DA0">
              <w:rPr>
                <w:szCs w:val="20"/>
              </w:rPr>
              <w:t>11</w:t>
            </w:r>
            <w:r w:rsidR="00172C7A" w:rsidRPr="00627DA0">
              <w:rPr>
                <w:szCs w:val="20"/>
              </w:rPr>
              <w:t>%</w:t>
            </w:r>
          </w:p>
        </w:tc>
      </w:tr>
      <w:tr w:rsidR="00172C7A" w:rsidRPr="00627DA0" w14:paraId="4128F304" w14:textId="77777777" w:rsidTr="001C3228">
        <w:trPr>
          <w:trHeight w:val="191"/>
        </w:trPr>
        <w:tc>
          <w:tcPr>
            <w:tcW w:w="1448" w:type="pct"/>
            <w:tcBorders>
              <w:top w:val="single" w:sz="4" w:space="0" w:color="000000" w:themeColor="text1"/>
              <w:bottom w:val="single" w:sz="4" w:space="0" w:color="000000" w:themeColor="text1"/>
            </w:tcBorders>
            <w:shd w:val="clear" w:color="auto" w:fill="E7E6E6" w:themeFill="background2"/>
          </w:tcPr>
          <w:p w14:paraId="05256233" w14:textId="77777777" w:rsidR="00172C7A" w:rsidRPr="00627DA0" w:rsidRDefault="00172C7A" w:rsidP="00D00767">
            <w:pPr>
              <w:pStyle w:val="TableContent"/>
              <w:rPr>
                <w:b/>
                <w:bCs/>
                <w:szCs w:val="20"/>
              </w:rPr>
            </w:pPr>
            <w:r w:rsidRPr="00627DA0">
              <w:rPr>
                <w:b/>
                <w:bCs/>
                <w:szCs w:val="20"/>
              </w:rPr>
              <w:t>HVAC Equipment</w:t>
            </w:r>
          </w:p>
        </w:tc>
        <w:tc>
          <w:tcPr>
            <w:tcW w:w="889" w:type="pct"/>
            <w:tcBorders>
              <w:top w:val="single" w:sz="4" w:space="0" w:color="000000" w:themeColor="text1"/>
              <w:bottom w:val="single" w:sz="4" w:space="0" w:color="000000" w:themeColor="text1"/>
            </w:tcBorders>
            <w:shd w:val="clear" w:color="auto" w:fill="E7E6E6" w:themeFill="background2"/>
          </w:tcPr>
          <w:p w14:paraId="0634EEDC" w14:textId="77777777" w:rsidR="00172C7A" w:rsidRPr="00627DA0" w:rsidRDefault="00172C7A" w:rsidP="00D00767">
            <w:pPr>
              <w:pStyle w:val="TableContent"/>
              <w:jc w:val="right"/>
              <w:rPr>
                <w:szCs w:val="20"/>
              </w:rPr>
            </w:pPr>
          </w:p>
        </w:tc>
        <w:tc>
          <w:tcPr>
            <w:tcW w:w="889" w:type="pct"/>
            <w:tcBorders>
              <w:top w:val="single" w:sz="4" w:space="0" w:color="000000" w:themeColor="text1"/>
              <w:bottom w:val="single" w:sz="4" w:space="0" w:color="000000" w:themeColor="text1"/>
            </w:tcBorders>
            <w:shd w:val="clear" w:color="auto" w:fill="E7E6E6" w:themeFill="background2"/>
          </w:tcPr>
          <w:p w14:paraId="37BC2778" w14:textId="77777777" w:rsidR="00172C7A" w:rsidRPr="00627DA0" w:rsidRDefault="00172C7A" w:rsidP="00D00767">
            <w:pPr>
              <w:pStyle w:val="TableContent"/>
              <w:jc w:val="right"/>
              <w:rPr>
                <w:szCs w:val="20"/>
              </w:rPr>
            </w:pPr>
          </w:p>
        </w:tc>
        <w:tc>
          <w:tcPr>
            <w:tcW w:w="888" w:type="pct"/>
            <w:tcBorders>
              <w:top w:val="single" w:sz="4" w:space="0" w:color="000000" w:themeColor="text1"/>
              <w:bottom w:val="single" w:sz="4" w:space="0" w:color="000000" w:themeColor="text1"/>
            </w:tcBorders>
            <w:shd w:val="clear" w:color="auto" w:fill="E7E6E6" w:themeFill="background2"/>
          </w:tcPr>
          <w:p w14:paraId="05DE8F4B" w14:textId="77777777" w:rsidR="00172C7A" w:rsidRPr="00627DA0" w:rsidRDefault="00172C7A" w:rsidP="00D00767">
            <w:pPr>
              <w:pStyle w:val="TableContent"/>
              <w:jc w:val="right"/>
              <w:rPr>
                <w:szCs w:val="20"/>
              </w:rPr>
            </w:pPr>
          </w:p>
        </w:tc>
        <w:tc>
          <w:tcPr>
            <w:tcW w:w="886" w:type="pct"/>
            <w:tcBorders>
              <w:top w:val="single" w:sz="4" w:space="0" w:color="000000" w:themeColor="text1"/>
              <w:bottom w:val="single" w:sz="4" w:space="0" w:color="000000" w:themeColor="text1"/>
            </w:tcBorders>
            <w:shd w:val="clear" w:color="auto" w:fill="E7E6E6" w:themeFill="background2"/>
          </w:tcPr>
          <w:p w14:paraId="4A94951A" w14:textId="2EEAEEF9" w:rsidR="00172C7A" w:rsidRPr="00627DA0" w:rsidRDefault="00172C7A" w:rsidP="00D00767">
            <w:pPr>
              <w:pStyle w:val="TableContent"/>
              <w:jc w:val="right"/>
              <w:rPr>
                <w:szCs w:val="20"/>
              </w:rPr>
            </w:pPr>
          </w:p>
        </w:tc>
      </w:tr>
      <w:tr w:rsidR="001C3228" w:rsidRPr="00627DA0" w14:paraId="233CE5FE" w14:textId="77777777" w:rsidTr="001C3228">
        <w:trPr>
          <w:trHeight w:val="200"/>
        </w:trPr>
        <w:tc>
          <w:tcPr>
            <w:tcW w:w="1448" w:type="pct"/>
            <w:tcBorders>
              <w:top w:val="single" w:sz="4" w:space="0" w:color="000000" w:themeColor="text1"/>
            </w:tcBorders>
          </w:tcPr>
          <w:p w14:paraId="5AFFC1DC" w14:textId="77777777" w:rsidR="001C3228" w:rsidRPr="00627DA0" w:rsidRDefault="001C3228" w:rsidP="001C3228">
            <w:pPr>
              <w:pStyle w:val="TableContent"/>
              <w:rPr>
                <w:szCs w:val="20"/>
              </w:rPr>
            </w:pPr>
            <w:r w:rsidRPr="00627DA0">
              <w:rPr>
                <w:szCs w:val="20"/>
              </w:rPr>
              <w:t xml:space="preserve">   Electric Forced Air Furnace</w:t>
            </w:r>
          </w:p>
        </w:tc>
        <w:tc>
          <w:tcPr>
            <w:tcW w:w="889" w:type="pct"/>
            <w:tcBorders>
              <w:top w:val="single" w:sz="4" w:space="0" w:color="000000" w:themeColor="text1"/>
            </w:tcBorders>
          </w:tcPr>
          <w:p w14:paraId="20BCF3DC" w14:textId="1C15B1C1" w:rsidR="001C3228" w:rsidRPr="00627DA0" w:rsidRDefault="001C3228" w:rsidP="001C3228">
            <w:pPr>
              <w:pStyle w:val="TableContent"/>
              <w:jc w:val="right"/>
              <w:rPr>
                <w:rFonts w:asciiTheme="minorHAnsi" w:hAnsiTheme="minorHAnsi"/>
                <w:szCs w:val="20"/>
              </w:rPr>
            </w:pPr>
            <w:r w:rsidRPr="00627DA0">
              <w:t>15%</w:t>
            </w:r>
          </w:p>
        </w:tc>
        <w:tc>
          <w:tcPr>
            <w:tcW w:w="889" w:type="pct"/>
            <w:tcBorders>
              <w:top w:val="single" w:sz="4" w:space="0" w:color="000000" w:themeColor="text1"/>
            </w:tcBorders>
          </w:tcPr>
          <w:p w14:paraId="0BE3F7B9" w14:textId="48FE1298" w:rsidR="001C3228" w:rsidRPr="00627DA0" w:rsidRDefault="001C3228" w:rsidP="001C3228">
            <w:pPr>
              <w:pStyle w:val="TableContent"/>
              <w:jc w:val="right"/>
              <w:rPr>
                <w:rFonts w:asciiTheme="minorHAnsi" w:hAnsiTheme="minorHAnsi"/>
                <w:szCs w:val="20"/>
              </w:rPr>
            </w:pPr>
            <w:r w:rsidRPr="00627DA0">
              <w:t>13%</w:t>
            </w:r>
          </w:p>
        </w:tc>
        <w:tc>
          <w:tcPr>
            <w:tcW w:w="888" w:type="pct"/>
            <w:tcBorders>
              <w:top w:val="single" w:sz="4" w:space="0" w:color="000000" w:themeColor="text1"/>
            </w:tcBorders>
          </w:tcPr>
          <w:p w14:paraId="6C74C7FB" w14:textId="10707E5A" w:rsidR="001C3228" w:rsidRPr="00627DA0" w:rsidRDefault="001C3228" w:rsidP="001C3228">
            <w:pPr>
              <w:pStyle w:val="TableContent"/>
              <w:jc w:val="right"/>
              <w:rPr>
                <w:rFonts w:asciiTheme="minorHAnsi" w:hAnsiTheme="minorHAnsi"/>
                <w:color w:val="000000"/>
                <w:szCs w:val="20"/>
              </w:rPr>
            </w:pPr>
            <w:r w:rsidRPr="00627DA0">
              <w:t>13%</w:t>
            </w:r>
          </w:p>
        </w:tc>
        <w:tc>
          <w:tcPr>
            <w:tcW w:w="886" w:type="pct"/>
            <w:tcBorders>
              <w:top w:val="single" w:sz="4" w:space="0" w:color="000000" w:themeColor="text1"/>
            </w:tcBorders>
          </w:tcPr>
          <w:p w14:paraId="63648B32" w14:textId="4CF05497" w:rsidR="001C3228" w:rsidRPr="00627DA0" w:rsidRDefault="001C3228" w:rsidP="001C3228">
            <w:pPr>
              <w:pStyle w:val="TableContent"/>
              <w:jc w:val="right"/>
              <w:rPr>
                <w:rFonts w:asciiTheme="minorHAnsi" w:hAnsiTheme="minorHAnsi"/>
                <w:szCs w:val="20"/>
              </w:rPr>
            </w:pPr>
            <w:r w:rsidRPr="00627DA0">
              <w:t>49%</w:t>
            </w:r>
          </w:p>
        </w:tc>
      </w:tr>
      <w:tr w:rsidR="001C3228" w:rsidRPr="00627DA0" w14:paraId="383412A7" w14:textId="77777777" w:rsidTr="001C3228">
        <w:trPr>
          <w:trHeight w:val="200"/>
        </w:trPr>
        <w:tc>
          <w:tcPr>
            <w:tcW w:w="1448" w:type="pct"/>
            <w:shd w:val="clear" w:color="auto" w:fill="F2F2F2" w:themeFill="background1" w:themeFillShade="F2"/>
          </w:tcPr>
          <w:p w14:paraId="724FF92B" w14:textId="77777777" w:rsidR="001C3228" w:rsidRPr="00627DA0" w:rsidRDefault="001C3228" w:rsidP="001C3228">
            <w:pPr>
              <w:pStyle w:val="TableContent"/>
              <w:rPr>
                <w:szCs w:val="20"/>
              </w:rPr>
            </w:pPr>
            <w:r w:rsidRPr="00627DA0">
              <w:rPr>
                <w:szCs w:val="20"/>
              </w:rPr>
              <w:t xml:space="preserve">   Air Source Heat Pump</w:t>
            </w:r>
          </w:p>
        </w:tc>
        <w:tc>
          <w:tcPr>
            <w:tcW w:w="889" w:type="pct"/>
            <w:shd w:val="clear" w:color="auto" w:fill="F2F2F2" w:themeFill="background1" w:themeFillShade="F2"/>
          </w:tcPr>
          <w:p w14:paraId="0116D3CC" w14:textId="3C50162F" w:rsidR="001C3228" w:rsidRPr="00627DA0" w:rsidRDefault="001C3228" w:rsidP="001C3228">
            <w:pPr>
              <w:pStyle w:val="TableContent"/>
              <w:jc w:val="right"/>
              <w:rPr>
                <w:rFonts w:asciiTheme="minorHAnsi" w:hAnsiTheme="minorHAnsi"/>
                <w:szCs w:val="20"/>
              </w:rPr>
            </w:pPr>
            <w:r w:rsidRPr="00627DA0">
              <w:t>23%</w:t>
            </w:r>
          </w:p>
        </w:tc>
        <w:tc>
          <w:tcPr>
            <w:tcW w:w="889" w:type="pct"/>
            <w:shd w:val="clear" w:color="auto" w:fill="F2F2F2" w:themeFill="background1" w:themeFillShade="F2"/>
          </w:tcPr>
          <w:p w14:paraId="63C7DF3F" w14:textId="494D0918" w:rsidR="001C3228" w:rsidRPr="00627DA0" w:rsidRDefault="001C3228" w:rsidP="001C3228">
            <w:pPr>
              <w:pStyle w:val="TableContent"/>
              <w:jc w:val="right"/>
              <w:rPr>
                <w:rFonts w:asciiTheme="minorHAnsi" w:hAnsiTheme="minorHAnsi"/>
                <w:szCs w:val="20"/>
              </w:rPr>
            </w:pPr>
            <w:r w:rsidRPr="00627DA0">
              <w:t>0%</w:t>
            </w:r>
          </w:p>
        </w:tc>
        <w:tc>
          <w:tcPr>
            <w:tcW w:w="888" w:type="pct"/>
            <w:shd w:val="clear" w:color="auto" w:fill="F2F2F2" w:themeFill="background1" w:themeFillShade="F2"/>
          </w:tcPr>
          <w:p w14:paraId="38A05A01" w14:textId="06E366B5" w:rsidR="001C3228" w:rsidRPr="00627DA0" w:rsidRDefault="001C3228" w:rsidP="001C3228">
            <w:pPr>
              <w:pStyle w:val="TableContent"/>
              <w:jc w:val="right"/>
              <w:rPr>
                <w:rFonts w:asciiTheme="minorHAnsi" w:hAnsiTheme="minorHAnsi"/>
                <w:color w:val="000000"/>
                <w:szCs w:val="20"/>
              </w:rPr>
            </w:pPr>
            <w:r w:rsidRPr="00627DA0">
              <w:t>0%</w:t>
            </w:r>
          </w:p>
        </w:tc>
        <w:tc>
          <w:tcPr>
            <w:tcW w:w="886" w:type="pct"/>
            <w:shd w:val="clear" w:color="auto" w:fill="F2F2F2" w:themeFill="background1" w:themeFillShade="F2"/>
          </w:tcPr>
          <w:p w14:paraId="0C6C7794" w14:textId="4947C89E" w:rsidR="001C3228" w:rsidRPr="00627DA0" w:rsidRDefault="001C3228" w:rsidP="001C3228">
            <w:pPr>
              <w:pStyle w:val="TableContent"/>
              <w:jc w:val="right"/>
              <w:rPr>
                <w:rFonts w:asciiTheme="minorHAnsi" w:hAnsiTheme="minorHAnsi"/>
                <w:szCs w:val="20"/>
              </w:rPr>
            </w:pPr>
            <w:r w:rsidRPr="00627DA0">
              <w:t>22%</w:t>
            </w:r>
          </w:p>
        </w:tc>
      </w:tr>
      <w:tr w:rsidR="001C3228" w:rsidRPr="00627DA0" w14:paraId="09B21689" w14:textId="77777777" w:rsidTr="001C3228">
        <w:trPr>
          <w:trHeight w:val="200"/>
        </w:trPr>
        <w:tc>
          <w:tcPr>
            <w:tcW w:w="1448" w:type="pct"/>
          </w:tcPr>
          <w:p w14:paraId="40BC58C0" w14:textId="77777777" w:rsidR="001C3228" w:rsidRPr="00627DA0" w:rsidRDefault="001C3228" w:rsidP="001C3228">
            <w:pPr>
              <w:pStyle w:val="TableContent"/>
              <w:rPr>
                <w:szCs w:val="20"/>
              </w:rPr>
            </w:pPr>
            <w:r w:rsidRPr="00627DA0">
              <w:rPr>
                <w:szCs w:val="20"/>
              </w:rPr>
              <w:t xml:space="preserve">   Ductless Heat Pump</w:t>
            </w:r>
          </w:p>
        </w:tc>
        <w:tc>
          <w:tcPr>
            <w:tcW w:w="889" w:type="pct"/>
          </w:tcPr>
          <w:p w14:paraId="14A58D8D" w14:textId="264327FC" w:rsidR="001C3228" w:rsidRPr="00627DA0" w:rsidRDefault="001C3228" w:rsidP="001C3228">
            <w:pPr>
              <w:pStyle w:val="TableContent"/>
              <w:jc w:val="right"/>
              <w:rPr>
                <w:rFonts w:asciiTheme="minorHAnsi" w:hAnsiTheme="minorHAnsi"/>
                <w:szCs w:val="20"/>
              </w:rPr>
            </w:pPr>
            <w:r w:rsidRPr="00627DA0">
              <w:t>6%</w:t>
            </w:r>
          </w:p>
        </w:tc>
        <w:tc>
          <w:tcPr>
            <w:tcW w:w="889" w:type="pct"/>
          </w:tcPr>
          <w:p w14:paraId="2E341EDC" w14:textId="359C634C" w:rsidR="001C3228" w:rsidRPr="00627DA0" w:rsidRDefault="001C3228" w:rsidP="001C3228">
            <w:pPr>
              <w:pStyle w:val="TableContent"/>
              <w:jc w:val="right"/>
              <w:rPr>
                <w:rFonts w:asciiTheme="minorHAnsi" w:hAnsiTheme="minorHAnsi"/>
                <w:szCs w:val="20"/>
              </w:rPr>
            </w:pPr>
            <w:r w:rsidRPr="00627DA0">
              <w:t>6%</w:t>
            </w:r>
          </w:p>
        </w:tc>
        <w:tc>
          <w:tcPr>
            <w:tcW w:w="888" w:type="pct"/>
          </w:tcPr>
          <w:p w14:paraId="79E21BC6" w14:textId="71F29E74" w:rsidR="001C3228" w:rsidRPr="00627DA0" w:rsidRDefault="001C3228" w:rsidP="001C3228">
            <w:pPr>
              <w:pStyle w:val="TableContent"/>
              <w:jc w:val="right"/>
              <w:rPr>
                <w:rFonts w:asciiTheme="minorHAnsi" w:hAnsiTheme="minorHAnsi"/>
                <w:color w:val="000000"/>
                <w:szCs w:val="20"/>
              </w:rPr>
            </w:pPr>
            <w:r w:rsidRPr="00627DA0">
              <w:t>6%</w:t>
            </w:r>
          </w:p>
        </w:tc>
        <w:tc>
          <w:tcPr>
            <w:tcW w:w="886" w:type="pct"/>
          </w:tcPr>
          <w:p w14:paraId="675A2E60" w14:textId="6C36135B" w:rsidR="001C3228" w:rsidRPr="00627DA0" w:rsidRDefault="001C3228" w:rsidP="001C3228">
            <w:pPr>
              <w:pStyle w:val="TableContent"/>
              <w:jc w:val="right"/>
              <w:rPr>
                <w:rFonts w:asciiTheme="minorHAnsi" w:hAnsiTheme="minorHAnsi"/>
                <w:szCs w:val="20"/>
              </w:rPr>
            </w:pPr>
            <w:r w:rsidRPr="00627DA0">
              <w:t>0%</w:t>
            </w:r>
          </w:p>
        </w:tc>
      </w:tr>
      <w:tr w:rsidR="001C3228" w:rsidRPr="00627DA0" w14:paraId="713A35F2" w14:textId="77777777" w:rsidTr="001C3228">
        <w:trPr>
          <w:trHeight w:val="200"/>
        </w:trPr>
        <w:tc>
          <w:tcPr>
            <w:tcW w:w="1448" w:type="pct"/>
            <w:shd w:val="clear" w:color="auto" w:fill="F2F2F2" w:themeFill="background1" w:themeFillShade="F2"/>
          </w:tcPr>
          <w:p w14:paraId="10172A56" w14:textId="77777777" w:rsidR="001C3228" w:rsidRPr="00627DA0" w:rsidRDefault="001C3228" w:rsidP="001C3228">
            <w:pPr>
              <w:pStyle w:val="TableContent"/>
              <w:rPr>
                <w:szCs w:val="20"/>
              </w:rPr>
            </w:pPr>
            <w:r w:rsidRPr="00627DA0">
              <w:rPr>
                <w:szCs w:val="20"/>
              </w:rPr>
              <w:t xml:space="preserve">   Electric Zonal/Baseboard</w:t>
            </w:r>
          </w:p>
        </w:tc>
        <w:tc>
          <w:tcPr>
            <w:tcW w:w="889" w:type="pct"/>
            <w:shd w:val="clear" w:color="auto" w:fill="F2F2F2" w:themeFill="background1" w:themeFillShade="F2"/>
          </w:tcPr>
          <w:p w14:paraId="63BFF14B" w14:textId="76106DEA" w:rsidR="001C3228" w:rsidRPr="00627DA0" w:rsidRDefault="001C3228" w:rsidP="001C3228">
            <w:pPr>
              <w:pStyle w:val="TableContent"/>
              <w:jc w:val="right"/>
              <w:rPr>
                <w:rFonts w:asciiTheme="minorHAnsi" w:hAnsiTheme="minorHAnsi"/>
                <w:szCs w:val="20"/>
              </w:rPr>
            </w:pPr>
            <w:r w:rsidRPr="00627DA0">
              <w:t>9%</w:t>
            </w:r>
          </w:p>
        </w:tc>
        <w:tc>
          <w:tcPr>
            <w:tcW w:w="889" w:type="pct"/>
            <w:shd w:val="clear" w:color="auto" w:fill="F2F2F2" w:themeFill="background1" w:themeFillShade="F2"/>
          </w:tcPr>
          <w:p w14:paraId="5598B219" w14:textId="459A9DEA" w:rsidR="001C3228" w:rsidRPr="00627DA0" w:rsidRDefault="001C3228" w:rsidP="001C3228">
            <w:pPr>
              <w:pStyle w:val="TableContent"/>
              <w:jc w:val="right"/>
              <w:rPr>
                <w:rFonts w:asciiTheme="minorHAnsi" w:hAnsiTheme="minorHAnsi"/>
                <w:szCs w:val="20"/>
              </w:rPr>
            </w:pPr>
            <w:r w:rsidRPr="00627DA0">
              <w:t>51%</w:t>
            </w:r>
          </w:p>
        </w:tc>
        <w:tc>
          <w:tcPr>
            <w:tcW w:w="888" w:type="pct"/>
            <w:shd w:val="clear" w:color="auto" w:fill="F2F2F2" w:themeFill="background1" w:themeFillShade="F2"/>
          </w:tcPr>
          <w:p w14:paraId="35F75144" w14:textId="079F9D82" w:rsidR="001C3228" w:rsidRPr="00627DA0" w:rsidRDefault="001C3228" w:rsidP="001C3228">
            <w:pPr>
              <w:pStyle w:val="TableContent"/>
              <w:jc w:val="right"/>
              <w:rPr>
                <w:rFonts w:asciiTheme="minorHAnsi" w:hAnsiTheme="minorHAnsi"/>
                <w:color w:val="000000"/>
                <w:szCs w:val="20"/>
              </w:rPr>
            </w:pPr>
            <w:r w:rsidRPr="00627DA0">
              <w:t>51%</w:t>
            </w:r>
          </w:p>
        </w:tc>
        <w:tc>
          <w:tcPr>
            <w:tcW w:w="886" w:type="pct"/>
            <w:shd w:val="clear" w:color="auto" w:fill="F2F2F2" w:themeFill="background1" w:themeFillShade="F2"/>
          </w:tcPr>
          <w:p w14:paraId="23AAF9B4" w14:textId="32D686D7" w:rsidR="001C3228" w:rsidRPr="00627DA0" w:rsidRDefault="001C3228" w:rsidP="001C3228">
            <w:pPr>
              <w:pStyle w:val="TableContent"/>
              <w:jc w:val="right"/>
              <w:rPr>
                <w:rFonts w:asciiTheme="minorHAnsi" w:hAnsiTheme="minorHAnsi"/>
                <w:szCs w:val="20"/>
              </w:rPr>
            </w:pPr>
            <w:r w:rsidRPr="00627DA0">
              <w:t>3%</w:t>
            </w:r>
          </w:p>
        </w:tc>
      </w:tr>
      <w:tr w:rsidR="001C3228" w:rsidRPr="00627DA0" w14:paraId="5D558F0E" w14:textId="77777777" w:rsidTr="001C3228">
        <w:trPr>
          <w:trHeight w:val="200"/>
        </w:trPr>
        <w:tc>
          <w:tcPr>
            <w:tcW w:w="1448" w:type="pct"/>
          </w:tcPr>
          <w:p w14:paraId="613470A9" w14:textId="77777777" w:rsidR="001C3228" w:rsidRPr="00627DA0" w:rsidRDefault="001C3228" w:rsidP="001C3228">
            <w:pPr>
              <w:pStyle w:val="TableContent"/>
              <w:rPr>
                <w:szCs w:val="20"/>
              </w:rPr>
            </w:pPr>
            <w:r w:rsidRPr="00627DA0">
              <w:rPr>
                <w:szCs w:val="20"/>
              </w:rPr>
              <w:t xml:space="preserve">   Central Air Conditioning</w:t>
            </w:r>
          </w:p>
        </w:tc>
        <w:tc>
          <w:tcPr>
            <w:tcW w:w="889" w:type="pct"/>
          </w:tcPr>
          <w:p w14:paraId="33D2E507" w14:textId="6E5710E6" w:rsidR="001C3228" w:rsidRPr="00627DA0" w:rsidRDefault="001C3228" w:rsidP="001C3228">
            <w:pPr>
              <w:pStyle w:val="TableContent"/>
              <w:jc w:val="right"/>
              <w:rPr>
                <w:rFonts w:asciiTheme="minorHAnsi" w:hAnsiTheme="minorHAnsi"/>
                <w:szCs w:val="20"/>
              </w:rPr>
            </w:pPr>
            <w:r w:rsidRPr="00627DA0">
              <w:t>36%</w:t>
            </w:r>
          </w:p>
        </w:tc>
        <w:tc>
          <w:tcPr>
            <w:tcW w:w="889" w:type="pct"/>
          </w:tcPr>
          <w:p w14:paraId="3CA90B05" w14:textId="5B91E506" w:rsidR="001C3228" w:rsidRPr="00627DA0" w:rsidRDefault="001C3228" w:rsidP="001C3228">
            <w:pPr>
              <w:pStyle w:val="TableContent"/>
              <w:jc w:val="right"/>
              <w:rPr>
                <w:rFonts w:asciiTheme="minorHAnsi" w:hAnsiTheme="minorHAnsi"/>
                <w:szCs w:val="20"/>
              </w:rPr>
            </w:pPr>
            <w:r w:rsidRPr="00627DA0">
              <w:t>11%</w:t>
            </w:r>
          </w:p>
        </w:tc>
        <w:tc>
          <w:tcPr>
            <w:tcW w:w="888" w:type="pct"/>
          </w:tcPr>
          <w:p w14:paraId="557D5A75" w14:textId="6F5847ED" w:rsidR="001C3228" w:rsidRPr="00627DA0" w:rsidRDefault="001C3228" w:rsidP="001C3228">
            <w:pPr>
              <w:pStyle w:val="TableContent"/>
              <w:jc w:val="right"/>
              <w:rPr>
                <w:rFonts w:asciiTheme="minorHAnsi" w:hAnsiTheme="minorHAnsi"/>
                <w:color w:val="000000"/>
                <w:szCs w:val="20"/>
              </w:rPr>
            </w:pPr>
            <w:r w:rsidRPr="00627DA0">
              <w:t>11%</w:t>
            </w:r>
          </w:p>
        </w:tc>
        <w:tc>
          <w:tcPr>
            <w:tcW w:w="886" w:type="pct"/>
          </w:tcPr>
          <w:p w14:paraId="159702DD" w14:textId="4010F9E5" w:rsidR="001C3228" w:rsidRPr="00627DA0" w:rsidRDefault="001C3228" w:rsidP="001C3228">
            <w:pPr>
              <w:pStyle w:val="TableContent"/>
              <w:jc w:val="right"/>
              <w:rPr>
                <w:rFonts w:asciiTheme="minorHAnsi" w:hAnsiTheme="minorHAnsi"/>
                <w:szCs w:val="20"/>
              </w:rPr>
            </w:pPr>
            <w:r w:rsidRPr="00627DA0">
              <w:t>23%</w:t>
            </w:r>
          </w:p>
        </w:tc>
      </w:tr>
      <w:tr w:rsidR="001C3228" w:rsidRPr="00627DA0" w14:paraId="729C2515" w14:textId="77777777" w:rsidTr="001C3228">
        <w:trPr>
          <w:trHeight w:val="200"/>
        </w:trPr>
        <w:tc>
          <w:tcPr>
            <w:tcW w:w="1448" w:type="pct"/>
            <w:tcBorders>
              <w:bottom w:val="single" w:sz="4" w:space="0" w:color="000000" w:themeColor="text1"/>
            </w:tcBorders>
            <w:shd w:val="clear" w:color="auto" w:fill="F2F2F2" w:themeFill="background1" w:themeFillShade="F2"/>
          </w:tcPr>
          <w:p w14:paraId="365E03D2" w14:textId="77777777" w:rsidR="001C3228" w:rsidRPr="00627DA0" w:rsidRDefault="001C3228" w:rsidP="001C3228">
            <w:pPr>
              <w:pStyle w:val="TableContent"/>
              <w:rPr>
                <w:szCs w:val="20"/>
              </w:rPr>
            </w:pPr>
            <w:r w:rsidRPr="00627DA0">
              <w:rPr>
                <w:szCs w:val="20"/>
              </w:rPr>
              <w:t xml:space="preserve">   Room Air Conditioning</w:t>
            </w:r>
          </w:p>
        </w:tc>
        <w:tc>
          <w:tcPr>
            <w:tcW w:w="889" w:type="pct"/>
            <w:tcBorders>
              <w:bottom w:val="single" w:sz="4" w:space="0" w:color="000000" w:themeColor="text1"/>
            </w:tcBorders>
            <w:shd w:val="clear" w:color="auto" w:fill="F2F2F2" w:themeFill="background1" w:themeFillShade="F2"/>
          </w:tcPr>
          <w:p w14:paraId="4FC5732B" w14:textId="19A6AE77" w:rsidR="001C3228" w:rsidRPr="00627DA0" w:rsidRDefault="001C3228" w:rsidP="001C3228">
            <w:pPr>
              <w:pStyle w:val="TableContent"/>
              <w:jc w:val="right"/>
              <w:rPr>
                <w:rFonts w:asciiTheme="minorHAnsi" w:hAnsiTheme="minorHAnsi"/>
                <w:szCs w:val="20"/>
              </w:rPr>
            </w:pPr>
            <w:r w:rsidRPr="00627DA0">
              <w:t>13%</w:t>
            </w:r>
          </w:p>
        </w:tc>
        <w:tc>
          <w:tcPr>
            <w:tcW w:w="889" w:type="pct"/>
            <w:tcBorders>
              <w:bottom w:val="single" w:sz="4" w:space="0" w:color="000000" w:themeColor="text1"/>
            </w:tcBorders>
            <w:shd w:val="clear" w:color="auto" w:fill="F2F2F2" w:themeFill="background1" w:themeFillShade="F2"/>
          </w:tcPr>
          <w:p w14:paraId="64E01754" w14:textId="05532E6F" w:rsidR="001C3228" w:rsidRPr="00627DA0" w:rsidRDefault="001C3228" w:rsidP="001C3228">
            <w:pPr>
              <w:pStyle w:val="TableContent"/>
              <w:jc w:val="right"/>
              <w:rPr>
                <w:rFonts w:asciiTheme="minorHAnsi" w:hAnsiTheme="minorHAnsi"/>
                <w:szCs w:val="20"/>
              </w:rPr>
            </w:pPr>
            <w:r w:rsidRPr="00627DA0">
              <w:t>64%</w:t>
            </w:r>
          </w:p>
        </w:tc>
        <w:tc>
          <w:tcPr>
            <w:tcW w:w="888" w:type="pct"/>
            <w:tcBorders>
              <w:bottom w:val="single" w:sz="4" w:space="0" w:color="000000" w:themeColor="text1"/>
            </w:tcBorders>
            <w:shd w:val="clear" w:color="auto" w:fill="F2F2F2" w:themeFill="background1" w:themeFillShade="F2"/>
          </w:tcPr>
          <w:p w14:paraId="71DAC428" w14:textId="3857AD6A" w:rsidR="001C3228" w:rsidRPr="00627DA0" w:rsidRDefault="001C3228" w:rsidP="001C3228">
            <w:pPr>
              <w:pStyle w:val="TableContent"/>
              <w:jc w:val="right"/>
              <w:rPr>
                <w:rFonts w:asciiTheme="minorHAnsi" w:hAnsiTheme="minorHAnsi"/>
                <w:color w:val="000000"/>
                <w:szCs w:val="20"/>
              </w:rPr>
            </w:pPr>
            <w:r w:rsidRPr="00627DA0">
              <w:t>64%</w:t>
            </w:r>
          </w:p>
        </w:tc>
        <w:tc>
          <w:tcPr>
            <w:tcW w:w="886" w:type="pct"/>
            <w:tcBorders>
              <w:bottom w:val="single" w:sz="4" w:space="0" w:color="000000" w:themeColor="text1"/>
            </w:tcBorders>
            <w:shd w:val="clear" w:color="auto" w:fill="F2F2F2" w:themeFill="background1" w:themeFillShade="F2"/>
          </w:tcPr>
          <w:p w14:paraId="0B4F0C6B" w14:textId="405347EA" w:rsidR="001C3228" w:rsidRPr="00627DA0" w:rsidRDefault="001C3228" w:rsidP="001C3228">
            <w:pPr>
              <w:pStyle w:val="TableContent"/>
              <w:jc w:val="right"/>
              <w:rPr>
                <w:rFonts w:asciiTheme="minorHAnsi" w:hAnsiTheme="minorHAnsi"/>
                <w:szCs w:val="20"/>
              </w:rPr>
            </w:pPr>
            <w:r w:rsidRPr="00627DA0">
              <w:t>29%</w:t>
            </w:r>
          </w:p>
        </w:tc>
      </w:tr>
      <w:tr w:rsidR="00172C7A" w:rsidRPr="00627DA0" w14:paraId="02306338" w14:textId="77777777" w:rsidTr="001C3228">
        <w:trPr>
          <w:trHeight w:val="200"/>
        </w:trPr>
        <w:tc>
          <w:tcPr>
            <w:tcW w:w="1448" w:type="pct"/>
            <w:tcBorders>
              <w:top w:val="single" w:sz="4" w:space="0" w:color="000000" w:themeColor="text1"/>
              <w:bottom w:val="single" w:sz="4" w:space="0" w:color="000000" w:themeColor="text1"/>
            </w:tcBorders>
            <w:shd w:val="clear" w:color="auto" w:fill="E7E6E6" w:themeFill="background2"/>
          </w:tcPr>
          <w:p w14:paraId="6B478A04" w14:textId="77777777" w:rsidR="00172C7A" w:rsidRPr="00627DA0" w:rsidRDefault="00172C7A" w:rsidP="00172C7A">
            <w:pPr>
              <w:pStyle w:val="TableContent"/>
              <w:rPr>
                <w:szCs w:val="20"/>
              </w:rPr>
            </w:pPr>
            <w:r w:rsidRPr="00627DA0">
              <w:rPr>
                <w:b/>
                <w:bCs/>
                <w:szCs w:val="20"/>
              </w:rPr>
              <w:t>Other Appliances</w:t>
            </w:r>
          </w:p>
        </w:tc>
        <w:tc>
          <w:tcPr>
            <w:tcW w:w="889" w:type="pct"/>
            <w:tcBorders>
              <w:top w:val="single" w:sz="4" w:space="0" w:color="000000" w:themeColor="text1"/>
              <w:bottom w:val="single" w:sz="4" w:space="0" w:color="000000" w:themeColor="text1"/>
            </w:tcBorders>
            <w:shd w:val="clear" w:color="auto" w:fill="E7E6E6" w:themeFill="background2"/>
            <w:vAlign w:val="bottom"/>
          </w:tcPr>
          <w:p w14:paraId="3286B12B" w14:textId="1F5ADAB3" w:rsidR="00172C7A" w:rsidRPr="00627DA0" w:rsidRDefault="00172C7A" w:rsidP="00172C7A">
            <w:pPr>
              <w:pStyle w:val="TableContent"/>
              <w:jc w:val="right"/>
              <w:rPr>
                <w:rFonts w:asciiTheme="minorHAnsi" w:hAnsiTheme="minorHAnsi"/>
                <w:szCs w:val="20"/>
              </w:rPr>
            </w:pPr>
            <w:r w:rsidRPr="00627DA0">
              <w:rPr>
                <w:rFonts w:asciiTheme="minorHAnsi" w:hAnsiTheme="minorHAnsi"/>
                <w:color w:val="000000"/>
                <w:szCs w:val="20"/>
              </w:rPr>
              <w:t> </w:t>
            </w:r>
          </w:p>
        </w:tc>
        <w:tc>
          <w:tcPr>
            <w:tcW w:w="889" w:type="pct"/>
            <w:tcBorders>
              <w:top w:val="single" w:sz="4" w:space="0" w:color="000000" w:themeColor="text1"/>
              <w:bottom w:val="single" w:sz="4" w:space="0" w:color="000000" w:themeColor="text1"/>
            </w:tcBorders>
            <w:shd w:val="clear" w:color="auto" w:fill="E7E6E6" w:themeFill="background2"/>
            <w:vAlign w:val="bottom"/>
          </w:tcPr>
          <w:p w14:paraId="74477FE1" w14:textId="2EA3F328" w:rsidR="00172C7A" w:rsidRPr="00627DA0" w:rsidRDefault="00172C7A" w:rsidP="00172C7A">
            <w:pPr>
              <w:pStyle w:val="TableContent"/>
              <w:jc w:val="right"/>
              <w:rPr>
                <w:rFonts w:asciiTheme="minorHAnsi" w:hAnsiTheme="minorHAnsi" w:cs="Calibri"/>
                <w:szCs w:val="20"/>
              </w:rPr>
            </w:pPr>
            <w:r w:rsidRPr="00627DA0">
              <w:rPr>
                <w:rFonts w:asciiTheme="minorHAnsi" w:hAnsiTheme="minorHAnsi"/>
                <w:color w:val="000000"/>
                <w:szCs w:val="20"/>
              </w:rPr>
              <w:t> </w:t>
            </w:r>
          </w:p>
        </w:tc>
        <w:tc>
          <w:tcPr>
            <w:tcW w:w="888" w:type="pct"/>
            <w:tcBorders>
              <w:top w:val="single" w:sz="4" w:space="0" w:color="000000" w:themeColor="text1"/>
              <w:bottom w:val="single" w:sz="4" w:space="0" w:color="000000" w:themeColor="text1"/>
            </w:tcBorders>
            <w:shd w:val="clear" w:color="auto" w:fill="E7E6E6" w:themeFill="background2"/>
            <w:vAlign w:val="bottom"/>
          </w:tcPr>
          <w:p w14:paraId="194A5FB8" w14:textId="62B40DAF" w:rsidR="00172C7A" w:rsidRPr="00627DA0" w:rsidRDefault="00172C7A" w:rsidP="00172C7A">
            <w:pPr>
              <w:pStyle w:val="TableContent"/>
              <w:jc w:val="right"/>
              <w:rPr>
                <w:rFonts w:asciiTheme="minorHAnsi" w:hAnsiTheme="minorHAnsi"/>
                <w:color w:val="000000"/>
                <w:szCs w:val="20"/>
              </w:rPr>
            </w:pPr>
            <w:r w:rsidRPr="00627DA0">
              <w:rPr>
                <w:rFonts w:asciiTheme="minorHAnsi" w:hAnsiTheme="minorHAnsi"/>
                <w:color w:val="000000"/>
                <w:szCs w:val="20"/>
              </w:rPr>
              <w:t> </w:t>
            </w:r>
          </w:p>
        </w:tc>
        <w:tc>
          <w:tcPr>
            <w:tcW w:w="886" w:type="pct"/>
            <w:tcBorders>
              <w:top w:val="single" w:sz="4" w:space="0" w:color="000000" w:themeColor="text1"/>
              <w:bottom w:val="single" w:sz="4" w:space="0" w:color="000000" w:themeColor="text1"/>
            </w:tcBorders>
            <w:shd w:val="clear" w:color="auto" w:fill="E7E6E6" w:themeFill="background2"/>
            <w:vAlign w:val="bottom"/>
          </w:tcPr>
          <w:p w14:paraId="416CB389" w14:textId="6A61B344" w:rsidR="00172C7A" w:rsidRPr="00627DA0" w:rsidRDefault="00172C7A" w:rsidP="00172C7A">
            <w:pPr>
              <w:pStyle w:val="TableContent"/>
              <w:jc w:val="right"/>
              <w:rPr>
                <w:rFonts w:asciiTheme="minorHAnsi" w:hAnsiTheme="minorHAnsi" w:cs="Calibri"/>
                <w:szCs w:val="20"/>
              </w:rPr>
            </w:pPr>
            <w:r w:rsidRPr="00627DA0">
              <w:rPr>
                <w:rFonts w:asciiTheme="minorHAnsi" w:hAnsiTheme="minorHAnsi"/>
                <w:color w:val="000000"/>
                <w:szCs w:val="20"/>
              </w:rPr>
              <w:t> </w:t>
            </w:r>
          </w:p>
        </w:tc>
      </w:tr>
      <w:tr w:rsidR="001C3228" w:rsidRPr="00627DA0" w14:paraId="3746229C" w14:textId="77777777" w:rsidTr="001C3228">
        <w:trPr>
          <w:trHeight w:val="200"/>
        </w:trPr>
        <w:tc>
          <w:tcPr>
            <w:tcW w:w="1448" w:type="pct"/>
            <w:tcBorders>
              <w:top w:val="single" w:sz="4" w:space="0" w:color="000000" w:themeColor="text1"/>
            </w:tcBorders>
            <w:vAlign w:val="center"/>
          </w:tcPr>
          <w:p w14:paraId="155B03A8" w14:textId="77777777" w:rsidR="001C3228" w:rsidRPr="00627DA0" w:rsidRDefault="001C3228" w:rsidP="001C3228">
            <w:pPr>
              <w:pStyle w:val="TableContent"/>
              <w:rPr>
                <w:b/>
                <w:bCs/>
                <w:szCs w:val="20"/>
              </w:rPr>
            </w:pPr>
            <w:r w:rsidRPr="00627DA0">
              <w:rPr>
                <w:rFonts w:cs="Calibri"/>
                <w:szCs w:val="20"/>
              </w:rPr>
              <w:t xml:space="preserve">   Electric Water Heater</w:t>
            </w:r>
          </w:p>
        </w:tc>
        <w:tc>
          <w:tcPr>
            <w:tcW w:w="889" w:type="pct"/>
            <w:tcBorders>
              <w:top w:val="single" w:sz="4" w:space="0" w:color="000000" w:themeColor="text1"/>
            </w:tcBorders>
          </w:tcPr>
          <w:p w14:paraId="5FA8133B" w14:textId="47F9864A" w:rsidR="001C3228" w:rsidRPr="00627DA0" w:rsidRDefault="001C3228" w:rsidP="001C3228">
            <w:pPr>
              <w:pStyle w:val="TableContent"/>
              <w:jc w:val="right"/>
              <w:rPr>
                <w:rFonts w:asciiTheme="minorHAnsi" w:hAnsiTheme="minorHAnsi"/>
                <w:b/>
                <w:bCs/>
                <w:szCs w:val="20"/>
              </w:rPr>
            </w:pPr>
            <w:r w:rsidRPr="00627DA0">
              <w:t>63%</w:t>
            </w:r>
          </w:p>
        </w:tc>
        <w:tc>
          <w:tcPr>
            <w:tcW w:w="889" w:type="pct"/>
            <w:tcBorders>
              <w:top w:val="single" w:sz="4" w:space="0" w:color="000000" w:themeColor="text1"/>
            </w:tcBorders>
          </w:tcPr>
          <w:p w14:paraId="4DF6AF0D" w14:textId="352AB2B1" w:rsidR="001C3228" w:rsidRPr="00627DA0" w:rsidRDefault="001C3228" w:rsidP="001C3228">
            <w:pPr>
              <w:pStyle w:val="TableContent"/>
              <w:jc w:val="right"/>
              <w:rPr>
                <w:rFonts w:asciiTheme="minorHAnsi" w:hAnsiTheme="minorHAnsi" w:cs="Calibri"/>
                <w:b/>
                <w:bCs/>
                <w:szCs w:val="20"/>
              </w:rPr>
            </w:pPr>
            <w:r w:rsidRPr="00627DA0">
              <w:t>78%</w:t>
            </w:r>
          </w:p>
        </w:tc>
        <w:tc>
          <w:tcPr>
            <w:tcW w:w="888" w:type="pct"/>
            <w:tcBorders>
              <w:top w:val="single" w:sz="4" w:space="0" w:color="000000" w:themeColor="text1"/>
            </w:tcBorders>
          </w:tcPr>
          <w:p w14:paraId="66A817DA" w14:textId="5FA47A60" w:rsidR="001C3228" w:rsidRPr="00627DA0" w:rsidRDefault="001C3228" w:rsidP="001C3228">
            <w:pPr>
              <w:pStyle w:val="TableContent"/>
              <w:jc w:val="right"/>
              <w:rPr>
                <w:rFonts w:asciiTheme="minorHAnsi" w:hAnsiTheme="minorHAnsi"/>
                <w:color w:val="000000"/>
                <w:szCs w:val="20"/>
              </w:rPr>
            </w:pPr>
            <w:r w:rsidRPr="00627DA0">
              <w:t>78%</w:t>
            </w:r>
          </w:p>
        </w:tc>
        <w:tc>
          <w:tcPr>
            <w:tcW w:w="886" w:type="pct"/>
            <w:tcBorders>
              <w:top w:val="single" w:sz="4" w:space="0" w:color="000000" w:themeColor="text1"/>
            </w:tcBorders>
          </w:tcPr>
          <w:p w14:paraId="08B5889A" w14:textId="0AB21996" w:rsidR="001C3228" w:rsidRPr="00627DA0" w:rsidRDefault="001C3228" w:rsidP="001C3228">
            <w:pPr>
              <w:pStyle w:val="TableContent"/>
              <w:jc w:val="right"/>
              <w:rPr>
                <w:rFonts w:asciiTheme="minorHAnsi" w:hAnsiTheme="minorHAnsi" w:cs="Calibri"/>
                <w:b/>
                <w:bCs/>
                <w:szCs w:val="20"/>
              </w:rPr>
            </w:pPr>
            <w:r w:rsidRPr="00627DA0">
              <w:t>91%</w:t>
            </w:r>
          </w:p>
        </w:tc>
      </w:tr>
      <w:tr w:rsidR="001C3228" w:rsidRPr="00627DA0" w14:paraId="14750F62" w14:textId="77777777" w:rsidTr="001C3228">
        <w:trPr>
          <w:trHeight w:val="200"/>
        </w:trPr>
        <w:tc>
          <w:tcPr>
            <w:tcW w:w="1448" w:type="pct"/>
            <w:shd w:val="clear" w:color="auto" w:fill="F2F2F2" w:themeFill="background1" w:themeFillShade="F2"/>
            <w:vAlign w:val="center"/>
          </w:tcPr>
          <w:p w14:paraId="18AA8A06" w14:textId="77777777" w:rsidR="001C3228" w:rsidRPr="00627DA0" w:rsidRDefault="001C3228" w:rsidP="001C3228">
            <w:pPr>
              <w:pStyle w:val="TableContent"/>
              <w:rPr>
                <w:b/>
                <w:bCs/>
                <w:szCs w:val="20"/>
              </w:rPr>
            </w:pPr>
            <w:r w:rsidRPr="00627DA0">
              <w:rPr>
                <w:rFonts w:cs="Calibri"/>
                <w:szCs w:val="20"/>
              </w:rPr>
              <w:t xml:space="preserve">   Refrigerator</w:t>
            </w:r>
          </w:p>
        </w:tc>
        <w:tc>
          <w:tcPr>
            <w:tcW w:w="889" w:type="pct"/>
            <w:shd w:val="clear" w:color="auto" w:fill="F2F2F2" w:themeFill="background1" w:themeFillShade="F2"/>
          </w:tcPr>
          <w:p w14:paraId="617DC95E" w14:textId="3BD1D4A9" w:rsidR="001C3228" w:rsidRPr="00627DA0" w:rsidRDefault="001C3228" w:rsidP="001C3228">
            <w:pPr>
              <w:pStyle w:val="TableContent"/>
              <w:jc w:val="right"/>
              <w:rPr>
                <w:rFonts w:asciiTheme="minorHAnsi" w:hAnsiTheme="minorHAnsi"/>
                <w:b/>
                <w:bCs/>
                <w:szCs w:val="20"/>
              </w:rPr>
            </w:pPr>
            <w:r w:rsidRPr="00627DA0">
              <w:t>152%</w:t>
            </w:r>
          </w:p>
        </w:tc>
        <w:tc>
          <w:tcPr>
            <w:tcW w:w="889" w:type="pct"/>
            <w:shd w:val="clear" w:color="auto" w:fill="F2F2F2" w:themeFill="background1" w:themeFillShade="F2"/>
          </w:tcPr>
          <w:p w14:paraId="31A2F60A" w14:textId="2CFA3E18" w:rsidR="001C3228" w:rsidRPr="00627DA0" w:rsidRDefault="001C3228" w:rsidP="001C3228">
            <w:pPr>
              <w:pStyle w:val="TableContent"/>
              <w:jc w:val="right"/>
              <w:rPr>
                <w:rFonts w:asciiTheme="minorHAnsi" w:hAnsiTheme="minorHAnsi" w:cs="Calibri"/>
                <w:b/>
                <w:bCs/>
                <w:szCs w:val="20"/>
              </w:rPr>
            </w:pPr>
            <w:r w:rsidRPr="00627DA0">
              <w:t>99%</w:t>
            </w:r>
          </w:p>
        </w:tc>
        <w:tc>
          <w:tcPr>
            <w:tcW w:w="888" w:type="pct"/>
            <w:shd w:val="clear" w:color="auto" w:fill="F2F2F2" w:themeFill="background1" w:themeFillShade="F2"/>
          </w:tcPr>
          <w:p w14:paraId="5B6BCC4A" w14:textId="32D55CCC" w:rsidR="001C3228" w:rsidRPr="00627DA0" w:rsidRDefault="001C3228" w:rsidP="001C3228">
            <w:pPr>
              <w:pStyle w:val="TableContent"/>
              <w:jc w:val="right"/>
              <w:rPr>
                <w:rFonts w:asciiTheme="minorHAnsi" w:hAnsiTheme="minorHAnsi"/>
                <w:color w:val="000000"/>
                <w:szCs w:val="20"/>
              </w:rPr>
            </w:pPr>
            <w:r w:rsidRPr="00627DA0">
              <w:t>99%</w:t>
            </w:r>
          </w:p>
        </w:tc>
        <w:tc>
          <w:tcPr>
            <w:tcW w:w="886" w:type="pct"/>
            <w:shd w:val="clear" w:color="auto" w:fill="F2F2F2" w:themeFill="background1" w:themeFillShade="F2"/>
          </w:tcPr>
          <w:p w14:paraId="5F427AFC" w14:textId="7A2E4647" w:rsidR="001C3228" w:rsidRPr="00627DA0" w:rsidRDefault="001C3228" w:rsidP="001C3228">
            <w:pPr>
              <w:pStyle w:val="TableContent"/>
              <w:jc w:val="right"/>
              <w:rPr>
                <w:rFonts w:asciiTheme="minorHAnsi" w:hAnsiTheme="minorHAnsi" w:cs="Calibri"/>
                <w:b/>
                <w:bCs/>
                <w:szCs w:val="20"/>
              </w:rPr>
            </w:pPr>
            <w:r w:rsidRPr="00627DA0">
              <w:t>132%</w:t>
            </w:r>
          </w:p>
        </w:tc>
      </w:tr>
      <w:tr w:rsidR="001C3228" w:rsidRPr="00627DA0" w14:paraId="3BCA5ADE" w14:textId="77777777" w:rsidTr="001C3228">
        <w:trPr>
          <w:trHeight w:val="200"/>
        </w:trPr>
        <w:tc>
          <w:tcPr>
            <w:tcW w:w="1448" w:type="pct"/>
            <w:vAlign w:val="center"/>
          </w:tcPr>
          <w:p w14:paraId="69DBE36A" w14:textId="77777777" w:rsidR="001C3228" w:rsidRPr="00627DA0" w:rsidRDefault="001C3228" w:rsidP="001C3228">
            <w:pPr>
              <w:pStyle w:val="TableContent"/>
              <w:rPr>
                <w:b/>
                <w:bCs/>
                <w:szCs w:val="20"/>
              </w:rPr>
            </w:pPr>
            <w:r w:rsidRPr="00627DA0">
              <w:rPr>
                <w:rFonts w:cs="Calibri"/>
                <w:szCs w:val="20"/>
              </w:rPr>
              <w:t xml:space="preserve">   Freezer</w:t>
            </w:r>
          </w:p>
        </w:tc>
        <w:tc>
          <w:tcPr>
            <w:tcW w:w="889" w:type="pct"/>
          </w:tcPr>
          <w:p w14:paraId="33B037EB" w14:textId="48BEA135" w:rsidR="001C3228" w:rsidRPr="00627DA0" w:rsidRDefault="001C3228" w:rsidP="001C3228">
            <w:pPr>
              <w:pStyle w:val="TableContent"/>
              <w:jc w:val="right"/>
              <w:rPr>
                <w:rFonts w:asciiTheme="minorHAnsi" w:hAnsiTheme="minorHAnsi"/>
                <w:b/>
                <w:bCs/>
                <w:szCs w:val="20"/>
              </w:rPr>
            </w:pPr>
            <w:r w:rsidRPr="00627DA0">
              <w:t>104%</w:t>
            </w:r>
          </w:p>
        </w:tc>
        <w:tc>
          <w:tcPr>
            <w:tcW w:w="889" w:type="pct"/>
          </w:tcPr>
          <w:p w14:paraId="0A5E071E" w14:textId="03A8171B" w:rsidR="001C3228" w:rsidRPr="00627DA0" w:rsidRDefault="001C3228" w:rsidP="001C3228">
            <w:pPr>
              <w:pStyle w:val="TableContent"/>
              <w:jc w:val="right"/>
              <w:rPr>
                <w:rFonts w:asciiTheme="minorHAnsi" w:hAnsiTheme="minorHAnsi" w:cs="Calibri"/>
                <w:b/>
                <w:bCs/>
                <w:szCs w:val="20"/>
              </w:rPr>
            </w:pPr>
            <w:r w:rsidRPr="00627DA0">
              <w:t>26%</w:t>
            </w:r>
          </w:p>
        </w:tc>
        <w:tc>
          <w:tcPr>
            <w:tcW w:w="888" w:type="pct"/>
          </w:tcPr>
          <w:p w14:paraId="48EAB3EA" w14:textId="0F567EDB" w:rsidR="001C3228" w:rsidRPr="00627DA0" w:rsidRDefault="001C3228" w:rsidP="001C3228">
            <w:pPr>
              <w:pStyle w:val="TableContent"/>
              <w:jc w:val="right"/>
              <w:rPr>
                <w:rFonts w:asciiTheme="minorHAnsi" w:hAnsiTheme="minorHAnsi"/>
                <w:color w:val="000000"/>
                <w:szCs w:val="20"/>
              </w:rPr>
            </w:pPr>
            <w:r w:rsidRPr="00627DA0">
              <w:t>26%</w:t>
            </w:r>
          </w:p>
        </w:tc>
        <w:tc>
          <w:tcPr>
            <w:tcW w:w="886" w:type="pct"/>
          </w:tcPr>
          <w:p w14:paraId="4845E0B5" w14:textId="25C8787C" w:rsidR="001C3228" w:rsidRPr="00627DA0" w:rsidRDefault="001C3228" w:rsidP="001C3228">
            <w:pPr>
              <w:pStyle w:val="TableContent"/>
              <w:jc w:val="right"/>
              <w:rPr>
                <w:rFonts w:asciiTheme="minorHAnsi" w:hAnsiTheme="minorHAnsi" w:cs="Calibri"/>
                <w:b/>
                <w:bCs/>
                <w:szCs w:val="20"/>
              </w:rPr>
            </w:pPr>
            <w:r w:rsidRPr="00627DA0">
              <w:t>96%</w:t>
            </w:r>
          </w:p>
        </w:tc>
      </w:tr>
      <w:tr w:rsidR="001C3228" w:rsidRPr="00627DA0" w14:paraId="43BA0AB7" w14:textId="77777777" w:rsidTr="001C3228">
        <w:trPr>
          <w:trHeight w:val="200"/>
        </w:trPr>
        <w:tc>
          <w:tcPr>
            <w:tcW w:w="1448" w:type="pct"/>
            <w:shd w:val="clear" w:color="auto" w:fill="F2F2F2" w:themeFill="background1" w:themeFillShade="F2"/>
            <w:vAlign w:val="center"/>
          </w:tcPr>
          <w:p w14:paraId="5D0CCBB1" w14:textId="77777777" w:rsidR="001C3228" w:rsidRPr="00627DA0" w:rsidRDefault="001C3228" w:rsidP="001C3228">
            <w:pPr>
              <w:pStyle w:val="TableContent"/>
              <w:rPr>
                <w:b/>
                <w:bCs/>
                <w:szCs w:val="20"/>
              </w:rPr>
            </w:pPr>
            <w:r w:rsidRPr="00627DA0">
              <w:rPr>
                <w:rFonts w:cs="Calibri"/>
                <w:szCs w:val="20"/>
              </w:rPr>
              <w:t xml:space="preserve">   Clothes Washer</w:t>
            </w:r>
          </w:p>
        </w:tc>
        <w:tc>
          <w:tcPr>
            <w:tcW w:w="889" w:type="pct"/>
            <w:shd w:val="clear" w:color="auto" w:fill="F2F2F2" w:themeFill="background1" w:themeFillShade="F2"/>
          </w:tcPr>
          <w:p w14:paraId="4EEF255C" w14:textId="4FF80626" w:rsidR="001C3228" w:rsidRPr="00627DA0" w:rsidRDefault="001C3228" w:rsidP="001C3228">
            <w:pPr>
              <w:pStyle w:val="TableContent"/>
              <w:jc w:val="right"/>
              <w:rPr>
                <w:rFonts w:asciiTheme="minorHAnsi" w:hAnsiTheme="minorHAnsi"/>
                <w:b/>
                <w:bCs/>
                <w:szCs w:val="20"/>
              </w:rPr>
            </w:pPr>
            <w:r w:rsidRPr="00627DA0">
              <w:t>99%</w:t>
            </w:r>
          </w:p>
        </w:tc>
        <w:tc>
          <w:tcPr>
            <w:tcW w:w="889" w:type="pct"/>
            <w:shd w:val="clear" w:color="auto" w:fill="F2F2F2" w:themeFill="background1" w:themeFillShade="F2"/>
          </w:tcPr>
          <w:p w14:paraId="47790F04" w14:textId="131050B6" w:rsidR="001C3228" w:rsidRPr="00627DA0" w:rsidRDefault="001C3228" w:rsidP="001C3228">
            <w:pPr>
              <w:pStyle w:val="TableContent"/>
              <w:jc w:val="right"/>
              <w:rPr>
                <w:rFonts w:asciiTheme="minorHAnsi" w:hAnsiTheme="minorHAnsi" w:cs="Calibri"/>
                <w:b/>
                <w:bCs/>
                <w:szCs w:val="20"/>
              </w:rPr>
            </w:pPr>
            <w:r w:rsidRPr="00627DA0">
              <w:t>75%</w:t>
            </w:r>
          </w:p>
        </w:tc>
        <w:tc>
          <w:tcPr>
            <w:tcW w:w="888" w:type="pct"/>
            <w:shd w:val="clear" w:color="auto" w:fill="F2F2F2" w:themeFill="background1" w:themeFillShade="F2"/>
          </w:tcPr>
          <w:p w14:paraId="04FA26FB" w14:textId="19362CA3" w:rsidR="001C3228" w:rsidRPr="00627DA0" w:rsidRDefault="001C3228" w:rsidP="001C3228">
            <w:pPr>
              <w:pStyle w:val="TableContent"/>
              <w:jc w:val="right"/>
              <w:rPr>
                <w:rFonts w:asciiTheme="minorHAnsi" w:hAnsiTheme="minorHAnsi"/>
                <w:color w:val="000000"/>
                <w:szCs w:val="20"/>
              </w:rPr>
            </w:pPr>
            <w:r w:rsidRPr="00627DA0">
              <w:t>75%</w:t>
            </w:r>
          </w:p>
        </w:tc>
        <w:tc>
          <w:tcPr>
            <w:tcW w:w="886" w:type="pct"/>
            <w:shd w:val="clear" w:color="auto" w:fill="F2F2F2" w:themeFill="background1" w:themeFillShade="F2"/>
          </w:tcPr>
          <w:p w14:paraId="1D96F823" w14:textId="19C17475" w:rsidR="001C3228" w:rsidRPr="00627DA0" w:rsidRDefault="001C3228" w:rsidP="001C3228">
            <w:pPr>
              <w:pStyle w:val="TableContent"/>
              <w:jc w:val="right"/>
              <w:rPr>
                <w:rFonts w:asciiTheme="minorHAnsi" w:hAnsiTheme="minorHAnsi" w:cs="Calibri"/>
                <w:b/>
                <w:bCs/>
                <w:szCs w:val="20"/>
              </w:rPr>
            </w:pPr>
            <w:r w:rsidRPr="00627DA0">
              <w:t>96%</w:t>
            </w:r>
          </w:p>
        </w:tc>
      </w:tr>
      <w:tr w:rsidR="001C3228" w:rsidRPr="00627DA0" w14:paraId="14928201" w14:textId="77777777" w:rsidTr="001C3228">
        <w:trPr>
          <w:trHeight w:val="200"/>
        </w:trPr>
        <w:tc>
          <w:tcPr>
            <w:tcW w:w="1448" w:type="pct"/>
            <w:vAlign w:val="center"/>
          </w:tcPr>
          <w:p w14:paraId="5339EA91" w14:textId="77777777" w:rsidR="001C3228" w:rsidRPr="00627DA0" w:rsidRDefault="001C3228" w:rsidP="001C3228">
            <w:pPr>
              <w:pStyle w:val="TableContent"/>
              <w:rPr>
                <w:b/>
                <w:bCs/>
                <w:szCs w:val="20"/>
              </w:rPr>
            </w:pPr>
            <w:r w:rsidRPr="00627DA0">
              <w:rPr>
                <w:rFonts w:cs="Calibri"/>
                <w:szCs w:val="20"/>
              </w:rPr>
              <w:t xml:space="preserve">   Electric Clothes Dryer</w:t>
            </w:r>
          </w:p>
        </w:tc>
        <w:tc>
          <w:tcPr>
            <w:tcW w:w="889" w:type="pct"/>
          </w:tcPr>
          <w:p w14:paraId="6FE89F94" w14:textId="0A07AB65" w:rsidR="001C3228" w:rsidRPr="00627DA0" w:rsidRDefault="001C3228" w:rsidP="001C3228">
            <w:pPr>
              <w:pStyle w:val="TableContent"/>
              <w:jc w:val="right"/>
              <w:rPr>
                <w:rFonts w:asciiTheme="minorHAnsi" w:hAnsiTheme="minorHAnsi"/>
                <w:b/>
                <w:bCs/>
                <w:szCs w:val="20"/>
              </w:rPr>
            </w:pPr>
            <w:r w:rsidRPr="00627DA0">
              <w:t>93%</w:t>
            </w:r>
          </w:p>
        </w:tc>
        <w:tc>
          <w:tcPr>
            <w:tcW w:w="889" w:type="pct"/>
          </w:tcPr>
          <w:p w14:paraId="4A3EE7FA" w14:textId="3204DDA4" w:rsidR="001C3228" w:rsidRPr="00627DA0" w:rsidRDefault="001C3228" w:rsidP="001C3228">
            <w:pPr>
              <w:pStyle w:val="TableContent"/>
              <w:jc w:val="right"/>
              <w:rPr>
                <w:rFonts w:asciiTheme="minorHAnsi" w:hAnsiTheme="minorHAnsi" w:cs="Calibri"/>
                <w:b/>
                <w:bCs/>
                <w:szCs w:val="20"/>
              </w:rPr>
            </w:pPr>
            <w:r w:rsidRPr="00627DA0">
              <w:t>74%</w:t>
            </w:r>
          </w:p>
        </w:tc>
        <w:tc>
          <w:tcPr>
            <w:tcW w:w="888" w:type="pct"/>
          </w:tcPr>
          <w:p w14:paraId="5289C15C" w14:textId="461D35B3" w:rsidR="001C3228" w:rsidRPr="00627DA0" w:rsidRDefault="001C3228" w:rsidP="001C3228">
            <w:pPr>
              <w:pStyle w:val="TableContent"/>
              <w:jc w:val="right"/>
              <w:rPr>
                <w:rFonts w:asciiTheme="minorHAnsi" w:hAnsiTheme="minorHAnsi"/>
                <w:color w:val="000000"/>
                <w:szCs w:val="20"/>
              </w:rPr>
            </w:pPr>
            <w:r w:rsidRPr="00627DA0">
              <w:t>74%</w:t>
            </w:r>
          </w:p>
        </w:tc>
        <w:tc>
          <w:tcPr>
            <w:tcW w:w="886" w:type="pct"/>
          </w:tcPr>
          <w:p w14:paraId="09301496" w14:textId="02074828" w:rsidR="001C3228" w:rsidRPr="00627DA0" w:rsidRDefault="001C3228" w:rsidP="001C3228">
            <w:pPr>
              <w:pStyle w:val="TableContent"/>
              <w:jc w:val="right"/>
              <w:rPr>
                <w:rFonts w:asciiTheme="minorHAnsi" w:hAnsiTheme="minorHAnsi" w:cs="Calibri"/>
                <w:b/>
                <w:bCs/>
                <w:szCs w:val="20"/>
              </w:rPr>
            </w:pPr>
            <w:r w:rsidRPr="00627DA0">
              <w:t>93%</w:t>
            </w:r>
          </w:p>
        </w:tc>
      </w:tr>
      <w:tr w:rsidR="001C3228" w:rsidRPr="00627DA0" w14:paraId="63ED2A63" w14:textId="77777777" w:rsidTr="001C3228">
        <w:trPr>
          <w:trHeight w:val="200"/>
        </w:trPr>
        <w:tc>
          <w:tcPr>
            <w:tcW w:w="1448" w:type="pct"/>
            <w:shd w:val="clear" w:color="auto" w:fill="F2F2F2" w:themeFill="background1" w:themeFillShade="F2"/>
            <w:vAlign w:val="center"/>
          </w:tcPr>
          <w:p w14:paraId="53922D17" w14:textId="77777777" w:rsidR="001C3228" w:rsidRPr="00627DA0" w:rsidRDefault="001C3228" w:rsidP="001C3228">
            <w:pPr>
              <w:pStyle w:val="TableContent"/>
              <w:rPr>
                <w:b/>
                <w:bCs/>
                <w:szCs w:val="20"/>
              </w:rPr>
            </w:pPr>
            <w:r w:rsidRPr="00627DA0">
              <w:rPr>
                <w:rFonts w:cs="Calibri"/>
                <w:szCs w:val="20"/>
              </w:rPr>
              <w:t xml:space="preserve">   Dishwasher</w:t>
            </w:r>
          </w:p>
        </w:tc>
        <w:tc>
          <w:tcPr>
            <w:tcW w:w="889" w:type="pct"/>
            <w:shd w:val="clear" w:color="auto" w:fill="F2F2F2" w:themeFill="background1" w:themeFillShade="F2"/>
          </w:tcPr>
          <w:p w14:paraId="29D8A532" w14:textId="64EA2A01" w:rsidR="001C3228" w:rsidRPr="00627DA0" w:rsidRDefault="001C3228" w:rsidP="001C3228">
            <w:pPr>
              <w:pStyle w:val="TableContent"/>
              <w:jc w:val="right"/>
              <w:rPr>
                <w:rFonts w:asciiTheme="minorHAnsi" w:hAnsiTheme="minorHAnsi"/>
                <w:b/>
                <w:bCs/>
                <w:szCs w:val="20"/>
              </w:rPr>
            </w:pPr>
            <w:r w:rsidRPr="00627DA0">
              <w:t>97%</w:t>
            </w:r>
          </w:p>
        </w:tc>
        <w:tc>
          <w:tcPr>
            <w:tcW w:w="889" w:type="pct"/>
            <w:shd w:val="clear" w:color="auto" w:fill="F2F2F2" w:themeFill="background1" w:themeFillShade="F2"/>
          </w:tcPr>
          <w:p w14:paraId="774640D5" w14:textId="549B5DA8" w:rsidR="001C3228" w:rsidRPr="00627DA0" w:rsidRDefault="001C3228" w:rsidP="001C3228">
            <w:pPr>
              <w:pStyle w:val="TableContent"/>
              <w:jc w:val="right"/>
              <w:rPr>
                <w:rFonts w:asciiTheme="minorHAnsi" w:hAnsiTheme="minorHAnsi" w:cs="Calibri"/>
                <w:b/>
                <w:bCs/>
                <w:szCs w:val="20"/>
              </w:rPr>
            </w:pPr>
            <w:r w:rsidRPr="00627DA0">
              <w:t>78%</w:t>
            </w:r>
          </w:p>
        </w:tc>
        <w:tc>
          <w:tcPr>
            <w:tcW w:w="888" w:type="pct"/>
            <w:shd w:val="clear" w:color="auto" w:fill="F2F2F2" w:themeFill="background1" w:themeFillShade="F2"/>
          </w:tcPr>
          <w:p w14:paraId="5C2FB4A7" w14:textId="25AEFFD6" w:rsidR="001C3228" w:rsidRPr="00627DA0" w:rsidRDefault="001C3228" w:rsidP="001C3228">
            <w:pPr>
              <w:pStyle w:val="TableContent"/>
              <w:jc w:val="right"/>
              <w:rPr>
                <w:rFonts w:asciiTheme="minorHAnsi" w:hAnsiTheme="minorHAnsi"/>
                <w:color w:val="000000"/>
                <w:szCs w:val="20"/>
              </w:rPr>
            </w:pPr>
            <w:r w:rsidRPr="00627DA0">
              <w:t>78%</w:t>
            </w:r>
          </w:p>
        </w:tc>
        <w:tc>
          <w:tcPr>
            <w:tcW w:w="886" w:type="pct"/>
            <w:shd w:val="clear" w:color="auto" w:fill="F2F2F2" w:themeFill="background1" w:themeFillShade="F2"/>
          </w:tcPr>
          <w:p w14:paraId="68AD85A6" w14:textId="2AA46DFB" w:rsidR="001C3228" w:rsidRPr="00627DA0" w:rsidRDefault="001C3228" w:rsidP="001C3228">
            <w:pPr>
              <w:pStyle w:val="TableContent"/>
              <w:jc w:val="right"/>
              <w:rPr>
                <w:rFonts w:asciiTheme="minorHAnsi" w:hAnsiTheme="minorHAnsi" w:cs="Calibri"/>
                <w:b/>
                <w:bCs/>
                <w:szCs w:val="20"/>
              </w:rPr>
            </w:pPr>
            <w:r w:rsidRPr="00627DA0">
              <w:t>83%</w:t>
            </w:r>
          </w:p>
        </w:tc>
      </w:tr>
      <w:tr w:rsidR="001C3228" w:rsidRPr="00627DA0" w14:paraId="38539929" w14:textId="77777777" w:rsidTr="001C3228">
        <w:trPr>
          <w:trHeight w:val="200"/>
        </w:trPr>
        <w:tc>
          <w:tcPr>
            <w:tcW w:w="1448" w:type="pct"/>
            <w:vAlign w:val="center"/>
          </w:tcPr>
          <w:p w14:paraId="1C800630" w14:textId="77777777" w:rsidR="001C3228" w:rsidRPr="00627DA0" w:rsidRDefault="001C3228" w:rsidP="001C3228">
            <w:pPr>
              <w:pStyle w:val="TableContent"/>
              <w:rPr>
                <w:b/>
                <w:bCs/>
                <w:szCs w:val="20"/>
              </w:rPr>
            </w:pPr>
            <w:r w:rsidRPr="00627DA0">
              <w:rPr>
                <w:rFonts w:cs="Calibri"/>
                <w:szCs w:val="20"/>
              </w:rPr>
              <w:lastRenderedPageBreak/>
              <w:t xml:space="preserve">   Electric Oven</w:t>
            </w:r>
          </w:p>
        </w:tc>
        <w:tc>
          <w:tcPr>
            <w:tcW w:w="889" w:type="pct"/>
          </w:tcPr>
          <w:p w14:paraId="767A1A54" w14:textId="2AB6DDD7" w:rsidR="001C3228" w:rsidRPr="00627DA0" w:rsidRDefault="001C3228" w:rsidP="001C3228">
            <w:pPr>
              <w:pStyle w:val="TableContent"/>
              <w:jc w:val="right"/>
              <w:rPr>
                <w:rFonts w:asciiTheme="minorHAnsi" w:hAnsiTheme="minorHAnsi"/>
                <w:b/>
                <w:bCs/>
                <w:szCs w:val="20"/>
              </w:rPr>
            </w:pPr>
            <w:r w:rsidRPr="00627DA0">
              <w:t>72%</w:t>
            </w:r>
          </w:p>
        </w:tc>
        <w:tc>
          <w:tcPr>
            <w:tcW w:w="889" w:type="pct"/>
          </w:tcPr>
          <w:p w14:paraId="4550FFE0" w14:textId="148304C0" w:rsidR="001C3228" w:rsidRPr="00627DA0" w:rsidRDefault="001C3228" w:rsidP="001C3228">
            <w:pPr>
              <w:pStyle w:val="TableContent"/>
              <w:jc w:val="right"/>
              <w:rPr>
                <w:rFonts w:asciiTheme="minorHAnsi" w:hAnsiTheme="minorHAnsi" w:cs="Calibri"/>
                <w:b/>
                <w:bCs/>
                <w:szCs w:val="20"/>
              </w:rPr>
            </w:pPr>
            <w:r w:rsidRPr="00627DA0">
              <w:t>97%</w:t>
            </w:r>
          </w:p>
        </w:tc>
        <w:tc>
          <w:tcPr>
            <w:tcW w:w="888" w:type="pct"/>
          </w:tcPr>
          <w:p w14:paraId="7FA2E166" w14:textId="757DD2BE" w:rsidR="001C3228" w:rsidRPr="00627DA0" w:rsidRDefault="001C3228" w:rsidP="001C3228">
            <w:pPr>
              <w:pStyle w:val="TableContent"/>
              <w:jc w:val="right"/>
              <w:rPr>
                <w:rFonts w:asciiTheme="minorHAnsi" w:hAnsiTheme="minorHAnsi"/>
                <w:color w:val="000000"/>
                <w:szCs w:val="20"/>
              </w:rPr>
            </w:pPr>
            <w:r w:rsidRPr="00627DA0">
              <w:t>97%</w:t>
            </w:r>
          </w:p>
        </w:tc>
        <w:tc>
          <w:tcPr>
            <w:tcW w:w="886" w:type="pct"/>
          </w:tcPr>
          <w:p w14:paraId="5ABA4E1D" w14:textId="7291898C" w:rsidR="001C3228" w:rsidRPr="00627DA0" w:rsidRDefault="001C3228" w:rsidP="001C3228">
            <w:pPr>
              <w:pStyle w:val="TableContent"/>
              <w:jc w:val="right"/>
              <w:rPr>
                <w:rFonts w:asciiTheme="minorHAnsi" w:hAnsiTheme="minorHAnsi" w:cs="Calibri"/>
                <w:b/>
                <w:bCs/>
                <w:szCs w:val="20"/>
              </w:rPr>
            </w:pPr>
            <w:r w:rsidRPr="00627DA0">
              <w:t>89%</w:t>
            </w:r>
          </w:p>
        </w:tc>
      </w:tr>
      <w:tr w:rsidR="001C3228" w:rsidRPr="00627DA0" w14:paraId="1A1DCC6D" w14:textId="77777777" w:rsidTr="001C3228">
        <w:trPr>
          <w:trHeight w:val="200"/>
        </w:trPr>
        <w:tc>
          <w:tcPr>
            <w:tcW w:w="1448" w:type="pct"/>
            <w:shd w:val="clear" w:color="auto" w:fill="F2F2F2" w:themeFill="background1" w:themeFillShade="F2"/>
            <w:vAlign w:val="center"/>
          </w:tcPr>
          <w:p w14:paraId="7A277F93" w14:textId="77777777" w:rsidR="001C3228" w:rsidRPr="00627DA0" w:rsidRDefault="001C3228" w:rsidP="001C3228">
            <w:pPr>
              <w:pStyle w:val="TableContent"/>
              <w:rPr>
                <w:b/>
                <w:bCs/>
                <w:szCs w:val="20"/>
              </w:rPr>
            </w:pPr>
            <w:r w:rsidRPr="00627DA0">
              <w:rPr>
                <w:rFonts w:cs="Calibri"/>
                <w:szCs w:val="20"/>
              </w:rPr>
              <w:t xml:space="preserve">   Desktop</w:t>
            </w:r>
          </w:p>
        </w:tc>
        <w:tc>
          <w:tcPr>
            <w:tcW w:w="889" w:type="pct"/>
            <w:shd w:val="clear" w:color="auto" w:fill="F2F2F2" w:themeFill="background1" w:themeFillShade="F2"/>
          </w:tcPr>
          <w:p w14:paraId="585627C2" w14:textId="1C3E9827" w:rsidR="001C3228" w:rsidRPr="00627DA0" w:rsidRDefault="001C3228" w:rsidP="001C3228">
            <w:pPr>
              <w:pStyle w:val="TableContent"/>
              <w:jc w:val="right"/>
              <w:rPr>
                <w:rFonts w:asciiTheme="minorHAnsi" w:hAnsiTheme="minorHAnsi"/>
                <w:b/>
                <w:bCs/>
                <w:szCs w:val="20"/>
              </w:rPr>
            </w:pPr>
            <w:r w:rsidRPr="00627DA0">
              <w:t>66%</w:t>
            </w:r>
          </w:p>
        </w:tc>
        <w:tc>
          <w:tcPr>
            <w:tcW w:w="889" w:type="pct"/>
            <w:shd w:val="clear" w:color="auto" w:fill="F2F2F2" w:themeFill="background1" w:themeFillShade="F2"/>
          </w:tcPr>
          <w:p w14:paraId="7C4012F7" w14:textId="7E42F2B4" w:rsidR="001C3228" w:rsidRPr="00627DA0" w:rsidRDefault="001C3228" w:rsidP="001C3228">
            <w:pPr>
              <w:pStyle w:val="TableContent"/>
              <w:jc w:val="right"/>
              <w:rPr>
                <w:rFonts w:asciiTheme="minorHAnsi" w:hAnsiTheme="minorHAnsi" w:cs="Calibri"/>
                <w:b/>
                <w:bCs/>
                <w:szCs w:val="20"/>
              </w:rPr>
            </w:pPr>
            <w:r w:rsidRPr="00627DA0">
              <w:t>21%</w:t>
            </w:r>
          </w:p>
        </w:tc>
        <w:tc>
          <w:tcPr>
            <w:tcW w:w="888" w:type="pct"/>
            <w:shd w:val="clear" w:color="auto" w:fill="F2F2F2" w:themeFill="background1" w:themeFillShade="F2"/>
          </w:tcPr>
          <w:p w14:paraId="7F960DE5" w14:textId="038E7EC4" w:rsidR="001C3228" w:rsidRPr="00627DA0" w:rsidRDefault="001C3228" w:rsidP="001C3228">
            <w:pPr>
              <w:pStyle w:val="TableContent"/>
              <w:jc w:val="right"/>
              <w:rPr>
                <w:rFonts w:asciiTheme="minorHAnsi" w:hAnsiTheme="minorHAnsi"/>
                <w:color w:val="000000"/>
                <w:szCs w:val="20"/>
              </w:rPr>
            </w:pPr>
            <w:r w:rsidRPr="00627DA0">
              <w:t>19%</w:t>
            </w:r>
          </w:p>
        </w:tc>
        <w:tc>
          <w:tcPr>
            <w:tcW w:w="886" w:type="pct"/>
            <w:shd w:val="clear" w:color="auto" w:fill="F2F2F2" w:themeFill="background1" w:themeFillShade="F2"/>
          </w:tcPr>
          <w:p w14:paraId="33D8AAD0" w14:textId="39F96640" w:rsidR="001C3228" w:rsidRPr="00627DA0" w:rsidRDefault="001C3228" w:rsidP="001C3228">
            <w:pPr>
              <w:pStyle w:val="TableContent"/>
              <w:jc w:val="right"/>
              <w:rPr>
                <w:rFonts w:asciiTheme="minorHAnsi" w:hAnsiTheme="minorHAnsi" w:cs="Calibri"/>
                <w:b/>
                <w:bCs/>
                <w:szCs w:val="20"/>
              </w:rPr>
            </w:pPr>
            <w:r w:rsidRPr="00627DA0">
              <w:t>31%</w:t>
            </w:r>
          </w:p>
        </w:tc>
      </w:tr>
      <w:tr w:rsidR="001C3228" w:rsidRPr="00627DA0" w14:paraId="3BF6E5B2" w14:textId="77777777" w:rsidTr="001C3228">
        <w:trPr>
          <w:trHeight w:val="200"/>
        </w:trPr>
        <w:tc>
          <w:tcPr>
            <w:tcW w:w="1448" w:type="pct"/>
            <w:tcBorders>
              <w:bottom w:val="nil"/>
            </w:tcBorders>
            <w:vAlign w:val="center"/>
          </w:tcPr>
          <w:p w14:paraId="0438236E" w14:textId="77777777" w:rsidR="001C3228" w:rsidRPr="00627DA0" w:rsidRDefault="001C3228" w:rsidP="001C3228">
            <w:pPr>
              <w:pStyle w:val="TableContent"/>
              <w:rPr>
                <w:b/>
                <w:bCs/>
                <w:szCs w:val="20"/>
              </w:rPr>
            </w:pPr>
            <w:r w:rsidRPr="00627DA0">
              <w:rPr>
                <w:rFonts w:cs="Calibri"/>
                <w:szCs w:val="20"/>
              </w:rPr>
              <w:t xml:space="preserve">   Laptop</w:t>
            </w:r>
          </w:p>
        </w:tc>
        <w:tc>
          <w:tcPr>
            <w:tcW w:w="889" w:type="pct"/>
            <w:tcBorders>
              <w:bottom w:val="nil"/>
            </w:tcBorders>
          </w:tcPr>
          <w:p w14:paraId="78B3DE6B" w14:textId="07333A7D" w:rsidR="001C3228" w:rsidRPr="00627DA0" w:rsidRDefault="001C3228" w:rsidP="001C3228">
            <w:pPr>
              <w:pStyle w:val="TableContent"/>
              <w:jc w:val="right"/>
              <w:rPr>
                <w:rFonts w:asciiTheme="minorHAnsi" w:hAnsiTheme="minorHAnsi"/>
                <w:b/>
                <w:bCs/>
                <w:szCs w:val="20"/>
              </w:rPr>
            </w:pPr>
            <w:r w:rsidRPr="00627DA0">
              <w:t>83%</w:t>
            </w:r>
          </w:p>
        </w:tc>
        <w:tc>
          <w:tcPr>
            <w:tcW w:w="889" w:type="pct"/>
            <w:tcBorders>
              <w:bottom w:val="nil"/>
            </w:tcBorders>
          </w:tcPr>
          <w:p w14:paraId="27689633" w14:textId="5C7D12B7" w:rsidR="001C3228" w:rsidRPr="00627DA0" w:rsidRDefault="001C3228" w:rsidP="001C3228">
            <w:pPr>
              <w:pStyle w:val="TableContent"/>
              <w:jc w:val="right"/>
              <w:rPr>
                <w:rFonts w:asciiTheme="minorHAnsi" w:hAnsiTheme="minorHAnsi" w:cs="Calibri"/>
                <w:b/>
                <w:bCs/>
                <w:szCs w:val="20"/>
              </w:rPr>
            </w:pPr>
            <w:r w:rsidRPr="00627DA0">
              <w:t>75%</w:t>
            </w:r>
          </w:p>
        </w:tc>
        <w:tc>
          <w:tcPr>
            <w:tcW w:w="888" w:type="pct"/>
            <w:tcBorders>
              <w:bottom w:val="nil"/>
            </w:tcBorders>
          </w:tcPr>
          <w:p w14:paraId="1BA56331" w14:textId="59CBDB39" w:rsidR="001C3228" w:rsidRPr="00627DA0" w:rsidRDefault="001C3228" w:rsidP="001C3228">
            <w:pPr>
              <w:pStyle w:val="TableContent"/>
              <w:jc w:val="right"/>
              <w:rPr>
                <w:rFonts w:asciiTheme="minorHAnsi" w:hAnsiTheme="minorHAnsi"/>
                <w:color w:val="000000"/>
                <w:szCs w:val="20"/>
              </w:rPr>
            </w:pPr>
            <w:r w:rsidRPr="00627DA0">
              <w:t>70%</w:t>
            </w:r>
          </w:p>
        </w:tc>
        <w:tc>
          <w:tcPr>
            <w:tcW w:w="886" w:type="pct"/>
            <w:tcBorders>
              <w:bottom w:val="nil"/>
            </w:tcBorders>
          </w:tcPr>
          <w:p w14:paraId="0B2595F7" w14:textId="050738D6" w:rsidR="001C3228" w:rsidRPr="00627DA0" w:rsidRDefault="001C3228" w:rsidP="001C3228">
            <w:pPr>
              <w:pStyle w:val="TableContent"/>
              <w:jc w:val="right"/>
              <w:rPr>
                <w:rFonts w:asciiTheme="minorHAnsi" w:hAnsiTheme="minorHAnsi" w:cs="Calibri"/>
                <w:b/>
                <w:bCs/>
                <w:szCs w:val="20"/>
              </w:rPr>
            </w:pPr>
            <w:r w:rsidRPr="00627DA0">
              <w:t>66%</w:t>
            </w:r>
          </w:p>
        </w:tc>
      </w:tr>
      <w:tr w:rsidR="001C3228" w:rsidRPr="00627DA0" w14:paraId="30B9513A" w14:textId="77777777" w:rsidTr="001C3228">
        <w:trPr>
          <w:trHeight w:val="200"/>
        </w:trPr>
        <w:tc>
          <w:tcPr>
            <w:tcW w:w="1448" w:type="pct"/>
            <w:tcBorders>
              <w:top w:val="nil"/>
              <w:bottom w:val="single" w:sz="12" w:space="0" w:color="auto"/>
            </w:tcBorders>
            <w:shd w:val="clear" w:color="auto" w:fill="F2F2F2" w:themeFill="background1" w:themeFillShade="F2"/>
            <w:vAlign w:val="center"/>
          </w:tcPr>
          <w:p w14:paraId="09D6A3A7" w14:textId="77777777" w:rsidR="001C3228" w:rsidRPr="00627DA0" w:rsidRDefault="001C3228" w:rsidP="001C3228">
            <w:pPr>
              <w:pStyle w:val="TableContent"/>
              <w:rPr>
                <w:rFonts w:cs="Calibri"/>
                <w:szCs w:val="20"/>
              </w:rPr>
            </w:pPr>
            <w:r w:rsidRPr="00627DA0">
              <w:rPr>
                <w:rFonts w:cs="Calibri"/>
                <w:szCs w:val="20"/>
              </w:rPr>
              <w:t xml:space="preserve">   Monitor</w:t>
            </w:r>
          </w:p>
        </w:tc>
        <w:tc>
          <w:tcPr>
            <w:tcW w:w="889" w:type="pct"/>
            <w:tcBorders>
              <w:top w:val="nil"/>
              <w:bottom w:val="single" w:sz="12" w:space="0" w:color="auto"/>
            </w:tcBorders>
            <w:shd w:val="clear" w:color="auto" w:fill="F2F2F2" w:themeFill="background1" w:themeFillShade="F2"/>
          </w:tcPr>
          <w:p w14:paraId="0A50E3CF" w14:textId="30DE64E5" w:rsidR="001C3228" w:rsidRPr="00627DA0" w:rsidRDefault="001C3228" w:rsidP="001C3228">
            <w:pPr>
              <w:pStyle w:val="TableContent"/>
              <w:jc w:val="right"/>
              <w:rPr>
                <w:rFonts w:asciiTheme="minorHAnsi" w:hAnsiTheme="minorHAnsi" w:cs="Calibri"/>
                <w:szCs w:val="20"/>
              </w:rPr>
            </w:pPr>
            <w:r w:rsidRPr="00627DA0">
              <w:t>120%</w:t>
            </w:r>
          </w:p>
        </w:tc>
        <w:tc>
          <w:tcPr>
            <w:tcW w:w="889" w:type="pct"/>
            <w:tcBorders>
              <w:top w:val="nil"/>
              <w:bottom w:val="single" w:sz="12" w:space="0" w:color="auto"/>
            </w:tcBorders>
            <w:shd w:val="clear" w:color="auto" w:fill="F2F2F2" w:themeFill="background1" w:themeFillShade="F2"/>
          </w:tcPr>
          <w:p w14:paraId="5C404122" w14:textId="21ECE228" w:rsidR="001C3228" w:rsidRPr="00627DA0" w:rsidRDefault="001C3228" w:rsidP="001C3228">
            <w:pPr>
              <w:pStyle w:val="TableContent"/>
              <w:jc w:val="right"/>
              <w:rPr>
                <w:rFonts w:asciiTheme="minorHAnsi" w:hAnsiTheme="minorHAnsi" w:cs="Calibri"/>
                <w:szCs w:val="20"/>
              </w:rPr>
            </w:pPr>
            <w:r w:rsidRPr="00627DA0">
              <w:t>50%</w:t>
            </w:r>
          </w:p>
        </w:tc>
        <w:tc>
          <w:tcPr>
            <w:tcW w:w="888" w:type="pct"/>
            <w:tcBorders>
              <w:top w:val="nil"/>
              <w:bottom w:val="single" w:sz="12" w:space="0" w:color="auto"/>
            </w:tcBorders>
            <w:shd w:val="clear" w:color="auto" w:fill="F2F2F2" w:themeFill="background1" w:themeFillShade="F2"/>
          </w:tcPr>
          <w:p w14:paraId="2D45E781" w14:textId="5DCFFB3B" w:rsidR="001C3228" w:rsidRPr="00627DA0" w:rsidRDefault="001C3228" w:rsidP="001C3228">
            <w:pPr>
              <w:pStyle w:val="TableContent"/>
              <w:jc w:val="right"/>
              <w:rPr>
                <w:rFonts w:asciiTheme="minorHAnsi" w:hAnsiTheme="minorHAnsi" w:cs="Arial"/>
                <w:color w:val="000000"/>
                <w:szCs w:val="20"/>
              </w:rPr>
            </w:pPr>
            <w:r w:rsidRPr="00627DA0">
              <w:t>52%</w:t>
            </w:r>
          </w:p>
        </w:tc>
        <w:tc>
          <w:tcPr>
            <w:tcW w:w="886" w:type="pct"/>
            <w:tcBorders>
              <w:top w:val="nil"/>
              <w:bottom w:val="single" w:sz="12" w:space="0" w:color="auto"/>
            </w:tcBorders>
            <w:shd w:val="clear" w:color="auto" w:fill="F2F2F2" w:themeFill="background1" w:themeFillShade="F2"/>
          </w:tcPr>
          <w:p w14:paraId="7896153A" w14:textId="246C4882" w:rsidR="001C3228" w:rsidRPr="00627DA0" w:rsidRDefault="001C3228" w:rsidP="001C3228">
            <w:pPr>
              <w:pStyle w:val="TableContent"/>
              <w:jc w:val="right"/>
              <w:rPr>
                <w:rFonts w:asciiTheme="minorHAnsi" w:hAnsiTheme="minorHAnsi" w:cs="Calibri"/>
                <w:szCs w:val="20"/>
              </w:rPr>
            </w:pPr>
            <w:r w:rsidRPr="00627DA0">
              <w:t>34%</w:t>
            </w:r>
          </w:p>
        </w:tc>
      </w:tr>
    </w:tbl>
    <w:p w14:paraId="506DDAFD" w14:textId="77777777" w:rsidR="00F14768" w:rsidRPr="00627DA0" w:rsidRDefault="00F14768" w:rsidP="00F14768"/>
    <w:p w14:paraId="4A12A458" w14:textId="2B7A5E58" w:rsidR="003E3E86" w:rsidRPr="00627DA0" w:rsidRDefault="003E3E86" w:rsidP="003E3E86">
      <w:pPr>
        <w:pStyle w:val="Caption"/>
      </w:pPr>
      <w:bookmarkStart w:id="54" w:name="_Ref206760487"/>
      <w:bookmarkStart w:id="55" w:name="_Toc207870735"/>
      <w:r w:rsidRPr="00627DA0">
        <w:t xml:space="preserve">Table </w:t>
      </w:r>
      <w:fldSimple w:instr=" SEQ Table \* ARABIC ">
        <w:r w:rsidR="00431297" w:rsidRPr="00627DA0">
          <w:t>6</w:t>
        </w:r>
      </w:fldSimple>
      <w:bookmarkEnd w:id="54"/>
      <w:r w:rsidRPr="00627DA0">
        <w:t>: Residential New Home Characteristics</w:t>
      </w:r>
      <w:bookmarkEnd w:id="55"/>
    </w:p>
    <w:tbl>
      <w:tblPr>
        <w:tblStyle w:val="TableGrid"/>
        <w:tblW w:w="5000" w:type="pct"/>
        <w:tblBorders>
          <w:top w:val="single" w:sz="12" w:space="0" w:color="002C7C" w:themeColor="accent1"/>
          <w:left w:val="none" w:sz="0" w:space="0" w:color="auto"/>
          <w:bottom w:val="single" w:sz="12" w:space="0" w:color="002C7C" w:themeColor="accent1"/>
          <w:right w:val="none" w:sz="0" w:space="0" w:color="auto"/>
          <w:insideH w:val="none" w:sz="0" w:space="0" w:color="auto"/>
          <w:insideV w:val="none" w:sz="0" w:space="0" w:color="auto"/>
        </w:tblBorders>
        <w:tblLook w:val="04A0" w:firstRow="1" w:lastRow="0" w:firstColumn="1" w:lastColumn="0" w:noHBand="0" w:noVBand="1"/>
      </w:tblPr>
      <w:tblGrid>
        <w:gridCol w:w="2711"/>
        <w:gridCol w:w="1664"/>
        <w:gridCol w:w="1664"/>
        <w:gridCol w:w="1662"/>
        <w:gridCol w:w="1659"/>
      </w:tblGrid>
      <w:tr w:rsidR="00B81A25" w:rsidRPr="00627DA0" w14:paraId="7A1D2B4C" w14:textId="77777777" w:rsidTr="002B151F">
        <w:trPr>
          <w:trHeight w:val="371"/>
        </w:trPr>
        <w:tc>
          <w:tcPr>
            <w:tcW w:w="1448" w:type="pct"/>
            <w:tcBorders>
              <w:top w:val="single" w:sz="12" w:space="0" w:color="auto"/>
              <w:bottom w:val="nil"/>
            </w:tcBorders>
            <w:shd w:val="clear" w:color="auto" w:fill="00205C" w:themeFill="accent1" w:themeFillShade="BF"/>
          </w:tcPr>
          <w:p w14:paraId="2912833D" w14:textId="77777777" w:rsidR="00B81A25" w:rsidRPr="00627DA0" w:rsidRDefault="00B81A25" w:rsidP="002B151F">
            <w:pPr>
              <w:pStyle w:val="TableContent"/>
              <w:rPr>
                <w:szCs w:val="20"/>
              </w:rPr>
            </w:pPr>
          </w:p>
        </w:tc>
        <w:tc>
          <w:tcPr>
            <w:tcW w:w="889" w:type="pct"/>
            <w:tcBorders>
              <w:top w:val="single" w:sz="12" w:space="0" w:color="auto"/>
              <w:bottom w:val="nil"/>
            </w:tcBorders>
            <w:shd w:val="clear" w:color="auto" w:fill="00205C" w:themeFill="accent1" w:themeFillShade="BF"/>
            <w:vAlign w:val="center"/>
          </w:tcPr>
          <w:p w14:paraId="46417C59" w14:textId="77777777" w:rsidR="00B81A25" w:rsidRPr="00627DA0" w:rsidRDefault="00B81A25" w:rsidP="002B151F">
            <w:pPr>
              <w:pStyle w:val="TableContent"/>
              <w:jc w:val="right"/>
              <w:rPr>
                <w:b/>
                <w:bCs/>
                <w:szCs w:val="20"/>
              </w:rPr>
            </w:pPr>
            <w:r w:rsidRPr="00627DA0">
              <w:rPr>
                <w:b/>
                <w:bCs/>
                <w:szCs w:val="20"/>
              </w:rPr>
              <w:t>Single Family</w:t>
            </w:r>
          </w:p>
        </w:tc>
        <w:tc>
          <w:tcPr>
            <w:tcW w:w="889" w:type="pct"/>
            <w:tcBorders>
              <w:top w:val="single" w:sz="12" w:space="0" w:color="auto"/>
              <w:bottom w:val="nil"/>
            </w:tcBorders>
            <w:shd w:val="clear" w:color="auto" w:fill="00205C" w:themeFill="accent1" w:themeFillShade="BF"/>
            <w:vAlign w:val="center"/>
          </w:tcPr>
          <w:p w14:paraId="594C3D38" w14:textId="77777777" w:rsidR="00B81A25" w:rsidRPr="00627DA0" w:rsidRDefault="00B81A25" w:rsidP="002B151F">
            <w:pPr>
              <w:pStyle w:val="TableContent"/>
              <w:jc w:val="right"/>
              <w:rPr>
                <w:b/>
                <w:bCs/>
                <w:szCs w:val="20"/>
              </w:rPr>
            </w:pPr>
            <w:r w:rsidRPr="00627DA0">
              <w:rPr>
                <w:b/>
                <w:bCs/>
                <w:szCs w:val="20"/>
              </w:rPr>
              <w:t>Low Rise Multifamily</w:t>
            </w:r>
          </w:p>
        </w:tc>
        <w:tc>
          <w:tcPr>
            <w:tcW w:w="888" w:type="pct"/>
            <w:tcBorders>
              <w:top w:val="single" w:sz="12" w:space="0" w:color="auto"/>
              <w:bottom w:val="nil"/>
            </w:tcBorders>
            <w:shd w:val="clear" w:color="auto" w:fill="00205C" w:themeFill="accent1" w:themeFillShade="BF"/>
          </w:tcPr>
          <w:p w14:paraId="5CD573D8" w14:textId="77777777" w:rsidR="00B81A25" w:rsidRPr="00627DA0" w:rsidRDefault="00B81A25" w:rsidP="002B151F">
            <w:pPr>
              <w:pStyle w:val="TableContent"/>
              <w:jc w:val="right"/>
              <w:rPr>
                <w:b/>
                <w:bCs/>
                <w:szCs w:val="20"/>
              </w:rPr>
            </w:pPr>
            <w:r w:rsidRPr="00627DA0">
              <w:rPr>
                <w:b/>
                <w:bCs/>
                <w:szCs w:val="20"/>
              </w:rPr>
              <w:t>High Rise Multifamily</w:t>
            </w:r>
          </w:p>
        </w:tc>
        <w:tc>
          <w:tcPr>
            <w:tcW w:w="886" w:type="pct"/>
            <w:tcBorders>
              <w:top w:val="single" w:sz="12" w:space="0" w:color="auto"/>
              <w:bottom w:val="nil"/>
            </w:tcBorders>
            <w:shd w:val="clear" w:color="auto" w:fill="00205C" w:themeFill="accent1" w:themeFillShade="BF"/>
            <w:vAlign w:val="center"/>
          </w:tcPr>
          <w:p w14:paraId="03CA11E5" w14:textId="77777777" w:rsidR="00B81A25" w:rsidRPr="00627DA0" w:rsidRDefault="00B81A25" w:rsidP="002B151F">
            <w:pPr>
              <w:pStyle w:val="TableContent"/>
              <w:jc w:val="right"/>
              <w:rPr>
                <w:b/>
                <w:bCs/>
                <w:szCs w:val="20"/>
              </w:rPr>
            </w:pPr>
            <w:r w:rsidRPr="00627DA0">
              <w:rPr>
                <w:b/>
                <w:bCs/>
                <w:szCs w:val="20"/>
              </w:rPr>
              <w:t>Manufactured</w:t>
            </w:r>
          </w:p>
        </w:tc>
      </w:tr>
      <w:tr w:rsidR="00B81A25" w:rsidRPr="00627DA0" w14:paraId="486BC7A3" w14:textId="77777777" w:rsidTr="002B151F">
        <w:trPr>
          <w:trHeight w:val="191"/>
        </w:trPr>
        <w:tc>
          <w:tcPr>
            <w:tcW w:w="1448" w:type="pct"/>
            <w:tcBorders>
              <w:top w:val="single" w:sz="4" w:space="0" w:color="000000" w:themeColor="text1"/>
              <w:bottom w:val="single" w:sz="4" w:space="0" w:color="000000" w:themeColor="text1"/>
            </w:tcBorders>
            <w:shd w:val="clear" w:color="auto" w:fill="E7E6E6" w:themeFill="background2"/>
          </w:tcPr>
          <w:p w14:paraId="755ADDE0" w14:textId="77777777" w:rsidR="00B81A25" w:rsidRPr="00627DA0" w:rsidRDefault="00B81A25" w:rsidP="002B151F">
            <w:pPr>
              <w:pStyle w:val="TableContent"/>
              <w:rPr>
                <w:b/>
                <w:bCs/>
                <w:szCs w:val="20"/>
              </w:rPr>
            </w:pPr>
            <w:r w:rsidRPr="00627DA0">
              <w:rPr>
                <w:b/>
                <w:bCs/>
                <w:szCs w:val="20"/>
              </w:rPr>
              <w:t>HVAC Equipment</w:t>
            </w:r>
          </w:p>
        </w:tc>
        <w:tc>
          <w:tcPr>
            <w:tcW w:w="889" w:type="pct"/>
            <w:tcBorders>
              <w:top w:val="single" w:sz="4" w:space="0" w:color="000000" w:themeColor="text1"/>
              <w:bottom w:val="single" w:sz="4" w:space="0" w:color="000000" w:themeColor="text1"/>
            </w:tcBorders>
            <w:shd w:val="clear" w:color="auto" w:fill="E7E6E6" w:themeFill="background2"/>
          </w:tcPr>
          <w:p w14:paraId="39FEC7CF" w14:textId="77777777" w:rsidR="00B81A25" w:rsidRPr="00627DA0" w:rsidRDefault="00B81A25" w:rsidP="002B151F">
            <w:pPr>
              <w:pStyle w:val="TableContent"/>
              <w:jc w:val="right"/>
              <w:rPr>
                <w:szCs w:val="20"/>
              </w:rPr>
            </w:pPr>
          </w:p>
        </w:tc>
        <w:tc>
          <w:tcPr>
            <w:tcW w:w="889" w:type="pct"/>
            <w:tcBorders>
              <w:top w:val="single" w:sz="4" w:space="0" w:color="000000" w:themeColor="text1"/>
              <w:bottom w:val="single" w:sz="4" w:space="0" w:color="000000" w:themeColor="text1"/>
            </w:tcBorders>
            <w:shd w:val="clear" w:color="auto" w:fill="E7E6E6" w:themeFill="background2"/>
          </w:tcPr>
          <w:p w14:paraId="7E4421F1" w14:textId="77777777" w:rsidR="00B81A25" w:rsidRPr="00627DA0" w:rsidRDefault="00B81A25" w:rsidP="002B151F">
            <w:pPr>
              <w:pStyle w:val="TableContent"/>
              <w:jc w:val="right"/>
              <w:rPr>
                <w:szCs w:val="20"/>
              </w:rPr>
            </w:pPr>
          </w:p>
        </w:tc>
        <w:tc>
          <w:tcPr>
            <w:tcW w:w="888" w:type="pct"/>
            <w:tcBorders>
              <w:top w:val="single" w:sz="4" w:space="0" w:color="000000" w:themeColor="text1"/>
              <w:bottom w:val="single" w:sz="4" w:space="0" w:color="000000" w:themeColor="text1"/>
            </w:tcBorders>
            <w:shd w:val="clear" w:color="auto" w:fill="E7E6E6" w:themeFill="background2"/>
          </w:tcPr>
          <w:p w14:paraId="16D72146" w14:textId="77777777" w:rsidR="00B81A25" w:rsidRPr="00627DA0" w:rsidRDefault="00B81A25" w:rsidP="002B151F">
            <w:pPr>
              <w:pStyle w:val="TableContent"/>
              <w:jc w:val="right"/>
              <w:rPr>
                <w:szCs w:val="20"/>
              </w:rPr>
            </w:pPr>
          </w:p>
        </w:tc>
        <w:tc>
          <w:tcPr>
            <w:tcW w:w="886" w:type="pct"/>
            <w:tcBorders>
              <w:top w:val="single" w:sz="4" w:space="0" w:color="000000" w:themeColor="text1"/>
              <w:bottom w:val="single" w:sz="4" w:space="0" w:color="000000" w:themeColor="text1"/>
            </w:tcBorders>
            <w:shd w:val="clear" w:color="auto" w:fill="E7E6E6" w:themeFill="background2"/>
          </w:tcPr>
          <w:p w14:paraId="562444AF" w14:textId="77777777" w:rsidR="00B81A25" w:rsidRPr="00627DA0" w:rsidRDefault="00B81A25" w:rsidP="002B151F">
            <w:pPr>
              <w:pStyle w:val="TableContent"/>
              <w:jc w:val="right"/>
              <w:rPr>
                <w:szCs w:val="20"/>
              </w:rPr>
            </w:pPr>
          </w:p>
        </w:tc>
      </w:tr>
      <w:tr w:rsidR="00B81A25" w:rsidRPr="00627DA0" w14:paraId="53AFE20F" w14:textId="77777777" w:rsidTr="002B151F">
        <w:trPr>
          <w:trHeight w:val="200"/>
        </w:trPr>
        <w:tc>
          <w:tcPr>
            <w:tcW w:w="1448" w:type="pct"/>
            <w:tcBorders>
              <w:top w:val="single" w:sz="4" w:space="0" w:color="000000" w:themeColor="text1"/>
            </w:tcBorders>
          </w:tcPr>
          <w:p w14:paraId="69D69ECA" w14:textId="77777777" w:rsidR="00B81A25" w:rsidRPr="00627DA0" w:rsidRDefault="00B81A25" w:rsidP="00B81A25">
            <w:pPr>
              <w:pStyle w:val="TableContent"/>
              <w:rPr>
                <w:szCs w:val="20"/>
              </w:rPr>
            </w:pPr>
            <w:r w:rsidRPr="00627DA0">
              <w:rPr>
                <w:szCs w:val="20"/>
              </w:rPr>
              <w:t xml:space="preserve">   Electric Forced Air Furnace</w:t>
            </w:r>
          </w:p>
        </w:tc>
        <w:tc>
          <w:tcPr>
            <w:tcW w:w="889" w:type="pct"/>
            <w:tcBorders>
              <w:top w:val="single" w:sz="4" w:space="0" w:color="000000" w:themeColor="text1"/>
            </w:tcBorders>
          </w:tcPr>
          <w:p w14:paraId="69969EC5" w14:textId="6EC1814F" w:rsidR="00B81A25" w:rsidRPr="00627DA0" w:rsidRDefault="00B81A25" w:rsidP="00B81A25">
            <w:pPr>
              <w:pStyle w:val="TableContent"/>
              <w:jc w:val="right"/>
              <w:rPr>
                <w:rFonts w:asciiTheme="minorHAnsi" w:hAnsiTheme="minorHAnsi"/>
                <w:szCs w:val="20"/>
              </w:rPr>
            </w:pPr>
            <w:r w:rsidRPr="00627DA0">
              <w:t>0%</w:t>
            </w:r>
          </w:p>
        </w:tc>
        <w:tc>
          <w:tcPr>
            <w:tcW w:w="889" w:type="pct"/>
            <w:tcBorders>
              <w:top w:val="single" w:sz="4" w:space="0" w:color="000000" w:themeColor="text1"/>
            </w:tcBorders>
          </w:tcPr>
          <w:p w14:paraId="5255E147" w14:textId="329AA875" w:rsidR="00B81A25" w:rsidRPr="00627DA0" w:rsidRDefault="00B81A25" w:rsidP="00B81A25">
            <w:pPr>
              <w:pStyle w:val="TableContent"/>
              <w:jc w:val="right"/>
              <w:rPr>
                <w:rFonts w:asciiTheme="minorHAnsi" w:hAnsiTheme="minorHAnsi"/>
                <w:szCs w:val="20"/>
              </w:rPr>
            </w:pPr>
            <w:r w:rsidRPr="00627DA0">
              <w:t>13%</w:t>
            </w:r>
          </w:p>
        </w:tc>
        <w:tc>
          <w:tcPr>
            <w:tcW w:w="888" w:type="pct"/>
            <w:tcBorders>
              <w:top w:val="single" w:sz="4" w:space="0" w:color="000000" w:themeColor="text1"/>
            </w:tcBorders>
          </w:tcPr>
          <w:p w14:paraId="43B04858" w14:textId="398A1F1D" w:rsidR="00B81A25" w:rsidRPr="00627DA0" w:rsidRDefault="00B81A25" w:rsidP="00B81A25">
            <w:pPr>
              <w:pStyle w:val="TableContent"/>
              <w:jc w:val="right"/>
              <w:rPr>
                <w:rFonts w:asciiTheme="minorHAnsi" w:hAnsiTheme="minorHAnsi"/>
                <w:color w:val="000000"/>
                <w:szCs w:val="20"/>
              </w:rPr>
            </w:pPr>
            <w:r w:rsidRPr="00627DA0">
              <w:t>13%</w:t>
            </w:r>
          </w:p>
        </w:tc>
        <w:tc>
          <w:tcPr>
            <w:tcW w:w="886" w:type="pct"/>
            <w:tcBorders>
              <w:top w:val="single" w:sz="4" w:space="0" w:color="000000" w:themeColor="text1"/>
            </w:tcBorders>
          </w:tcPr>
          <w:p w14:paraId="5CD432DB" w14:textId="466EE649" w:rsidR="00B81A25" w:rsidRPr="00627DA0" w:rsidRDefault="00B81A25" w:rsidP="00B81A25">
            <w:pPr>
              <w:pStyle w:val="TableContent"/>
              <w:jc w:val="right"/>
              <w:rPr>
                <w:rFonts w:asciiTheme="minorHAnsi" w:hAnsiTheme="minorHAnsi"/>
                <w:szCs w:val="20"/>
              </w:rPr>
            </w:pPr>
            <w:r w:rsidRPr="00627DA0">
              <w:t>49%</w:t>
            </w:r>
          </w:p>
        </w:tc>
      </w:tr>
      <w:tr w:rsidR="00B81A25" w:rsidRPr="00627DA0" w14:paraId="1C129951" w14:textId="77777777" w:rsidTr="002B151F">
        <w:trPr>
          <w:trHeight w:val="200"/>
        </w:trPr>
        <w:tc>
          <w:tcPr>
            <w:tcW w:w="1448" w:type="pct"/>
            <w:shd w:val="clear" w:color="auto" w:fill="F2F2F2" w:themeFill="background1" w:themeFillShade="F2"/>
          </w:tcPr>
          <w:p w14:paraId="1D8045DF" w14:textId="77777777" w:rsidR="00B81A25" w:rsidRPr="00627DA0" w:rsidRDefault="00B81A25" w:rsidP="00B81A25">
            <w:pPr>
              <w:pStyle w:val="TableContent"/>
              <w:rPr>
                <w:szCs w:val="20"/>
              </w:rPr>
            </w:pPr>
            <w:r w:rsidRPr="00627DA0">
              <w:rPr>
                <w:szCs w:val="20"/>
              </w:rPr>
              <w:t xml:space="preserve">   Air Source Heat Pump</w:t>
            </w:r>
          </w:p>
        </w:tc>
        <w:tc>
          <w:tcPr>
            <w:tcW w:w="889" w:type="pct"/>
            <w:shd w:val="clear" w:color="auto" w:fill="F2F2F2" w:themeFill="background1" w:themeFillShade="F2"/>
          </w:tcPr>
          <w:p w14:paraId="5D054F7B" w14:textId="43679568" w:rsidR="00B81A25" w:rsidRPr="00627DA0" w:rsidRDefault="00B81A25" w:rsidP="00B81A25">
            <w:pPr>
              <w:pStyle w:val="TableContent"/>
              <w:jc w:val="right"/>
              <w:rPr>
                <w:rFonts w:asciiTheme="minorHAnsi" w:hAnsiTheme="minorHAnsi"/>
                <w:szCs w:val="20"/>
              </w:rPr>
            </w:pPr>
            <w:r w:rsidRPr="00627DA0">
              <w:t>38%</w:t>
            </w:r>
          </w:p>
        </w:tc>
        <w:tc>
          <w:tcPr>
            <w:tcW w:w="889" w:type="pct"/>
            <w:shd w:val="clear" w:color="auto" w:fill="F2F2F2" w:themeFill="background1" w:themeFillShade="F2"/>
          </w:tcPr>
          <w:p w14:paraId="2FC708DC" w14:textId="3AC6F246" w:rsidR="00B81A25" w:rsidRPr="00627DA0" w:rsidRDefault="00B81A25" w:rsidP="00B81A25">
            <w:pPr>
              <w:pStyle w:val="TableContent"/>
              <w:jc w:val="right"/>
              <w:rPr>
                <w:rFonts w:asciiTheme="minorHAnsi" w:hAnsiTheme="minorHAnsi"/>
                <w:szCs w:val="20"/>
              </w:rPr>
            </w:pPr>
            <w:r w:rsidRPr="00627DA0">
              <w:t>0%</w:t>
            </w:r>
          </w:p>
        </w:tc>
        <w:tc>
          <w:tcPr>
            <w:tcW w:w="888" w:type="pct"/>
            <w:shd w:val="clear" w:color="auto" w:fill="F2F2F2" w:themeFill="background1" w:themeFillShade="F2"/>
          </w:tcPr>
          <w:p w14:paraId="01ABBE56" w14:textId="7E09495B" w:rsidR="00B81A25" w:rsidRPr="00627DA0" w:rsidRDefault="00B81A25" w:rsidP="00B81A25">
            <w:pPr>
              <w:pStyle w:val="TableContent"/>
              <w:jc w:val="right"/>
              <w:rPr>
                <w:rFonts w:asciiTheme="minorHAnsi" w:hAnsiTheme="minorHAnsi"/>
                <w:color w:val="000000"/>
                <w:szCs w:val="20"/>
              </w:rPr>
            </w:pPr>
            <w:r w:rsidRPr="00627DA0">
              <w:t>0%</w:t>
            </w:r>
          </w:p>
        </w:tc>
        <w:tc>
          <w:tcPr>
            <w:tcW w:w="886" w:type="pct"/>
            <w:shd w:val="clear" w:color="auto" w:fill="F2F2F2" w:themeFill="background1" w:themeFillShade="F2"/>
          </w:tcPr>
          <w:p w14:paraId="34B197A0" w14:textId="2F256417" w:rsidR="00B81A25" w:rsidRPr="00627DA0" w:rsidRDefault="00B81A25" w:rsidP="00B81A25">
            <w:pPr>
              <w:pStyle w:val="TableContent"/>
              <w:jc w:val="right"/>
              <w:rPr>
                <w:rFonts w:asciiTheme="minorHAnsi" w:hAnsiTheme="minorHAnsi"/>
                <w:szCs w:val="20"/>
              </w:rPr>
            </w:pPr>
            <w:r w:rsidRPr="00627DA0">
              <w:t>22%</w:t>
            </w:r>
          </w:p>
        </w:tc>
      </w:tr>
      <w:tr w:rsidR="00B81A25" w:rsidRPr="00627DA0" w14:paraId="32571E02" w14:textId="77777777" w:rsidTr="002B151F">
        <w:trPr>
          <w:trHeight w:val="200"/>
        </w:trPr>
        <w:tc>
          <w:tcPr>
            <w:tcW w:w="1448" w:type="pct"/>
          </w:tcPr>
          <w:p w14:paraId="109067C9" w14:textId="77777777" w:rsidR="00B81A25" w:rsidRPr="00627DA0" w:rsidRDefault="00B81A25" w:rsidP="00B81A25">
            <w:pPr>
              <w:pStyle w:val="TableContent"/>
              <w:rPr>
                <w:szCs w:val="20"/>
              </w:rPr>
            </w:pPr>
            <w:r w:rsidRPr="00627DA0">
              <w:rPr>
                <w:szCs w:val="20"/>
              </w:rPr>
              <w:t xml:space="preserve">   Ductless Heat Pump</w:t>
            </w:r>
          </w:p>
        </w:tc>
        <w:tc>
          <w:tcPr>
            <w:tcW w:w="889" w:type="pct"/>
          </w:tcPr>
          <w:p w14:paraId="0EEA35B5" w14:textId="11B1C6CD" w:rsidR="00B81A25" w:rsidRPr="00627DA0" w:rsidRDefault="00B81A25" w:rsidP="00B81A25">
            <w:pPr>
              <w:pStyle w:val="TableContent"/>
              <w:jc w:val="right"/>
              <w:rPr>
                <w:rFonts w:asciiTheme="minorHAnsi" w:hAnsiTheme="minorHAnsi"/>
                <w:szCs w:val="20"/>
              </w:rPr>
            </w:pPr>
            <w:r w:rsidRPr="00627DA0">
              <w:t>14%</w:t>
            </w:r>
          </w:p>
        </w:tc>
        <w:tc>
          <w:tcPr>
            <w:tcW w:w="889" w:type="pct"/>
          </w:tcPr>
          <w:p w14:paraId="4A1B1042" w14:textId="4D4D4667" w:rsidR="00B81A25" w:rsidRPr="00627DA0" w:rsidRDefault="00B81A25" w:rsidP="00B81A25">
            <w:pPr>
              <w:pStyle w:val="TableContent"/>
              <w:jc w:val="right"/>
              <w:rPr>
                <w:rFonts w:asciiTheme="minorHAnsi" w:hAnsiTheme="minorHAnsi"/>
                <w:szCs w:val="20"/>
              </w:rPr>
            </w:pPr>
            <w:r w:rsidRPr="00627DA0">
              <w:t>6%</w:t>
            </w:r>
          </w:p>
        </w:tc>
        <w:tc>
          <w:tcPr>
            <w:tcW w:w="888" w:type="pct"/>
          </w:tcPr>
          <w:p w14:paraId="0B4B93F7" w14:textId="1D87C7EE" w:rsidR="00B81A25" w:rsidRPr="00627DA0" w:rsidRDefault="00B81A25" w:rsidP="00B81A25">
            <w:pPr>
              <w:pStyle w:val="TableContent"/>
              <w:jc w:val="right"/>
              <w:rPr>
                <w:rFonts w:asciiTheme="minorHAnsi" w:hAnsiTheme="minorHAnsi"/>
                <w:color w:val="000000"/>
                <w:szCs w:val="20"/>
              </w:rPr>
            </w:pPr>
            <w:r w:rsidRPr="00627DA0">
              <w:t>6%</w:t>
            </w:r>
          </w:p>
        </w:tc>
        <w:tc>
          <w:tcPr>
            <w:tcW w:w="886" w:type="pct"/>
          </w:tcPr>
          <w:p w14:paraId="6D7811FE" w14:textId="11F3FB65" w:rsidR="00B81A25" w:rsidRPr="00627DA0" w:rsidRDefault="00B81A25" w:rsidP="00B81A25">
            <w:pPr>
              <w:pStyle w:val="TableContent"/>
              <w:jc w:val="right"/>
              <w:rPr>
                <w:rFonts w:asciiTheme="minorHAnsi" w:hAnsiTheme="minorHAnsi"/>
                <w:szCs w:val="20"/>
              </w:rPr>
            </w:pPr>
            <w:r w:rsidRPr="00627DA0">
              <w:t>0%</w:t>
            </w:r>
          </w:p>
        </w:tc>
      </w:tr>
      <w:tr w:rsidR="00B81A25" w:rsidRPr="00627DA0" w14:paraId="7B082B31" w14:textId="77777777" w:rsidTr="002B151F">
        <w:trPr>
          <w:trHeight w:val="200"/>
        </w:trPr>
        <w:tc>
          <w:tcPr>
            <w:tcW w:w="1448" w:type="pct"/>
            <w:shd w:val="clear" w:color="auto" w:fill="F2F2F2" w:themeFill="background1" w:themeFillShade="F2"/>
          </w:tcPr>
          <w:p w14:paraId="5326F962" w14:textId="77777777" w:rsidR="00B81A25" w:rsidRPr="00627DA0" w:rsidRDefault="00B81A25" w:rsidP="00B81A25">
            <w:pPr>
              <w:pStyle w:val="TableContent"/>
              <w:rPr>
                <w:szCs w:val="20"/>
              </w:rPr>
            </w:pPr>
            <w:r w:rsidRPr="00627DA0">
              <w:rPr>
                <w:szCs w:val="20"/>
              </w:rPr>
              <w:t xml:space="preserve">   Electric Zonal/Baseboard</w:t>
            </w:r>
          </w:p>
        </w:tc>
        <w:tc>
          <w:tcPr>
            <w:tcW w:w="889" w:type="pct"/>
            <w:shd w:val="clear" w:color="auto" w:fill="F2F2F2" w:themeFill="background1" w:themeFillShade="F2"/>
          </w:tcPr>
          <w:p w14:paraId="193A0975" w14:textId="14B909F3" w:rsidR="00B81A25" w:rsidRPr="00627DA0" w:rsidRDefault="00B81A25" w:rsidP="00B81A25">
            <w:pPr>
              <w:pStyle w:val="TableContent"/>
              <w:jc w:val="right"/>
              <w:rPr>
                <w:rFonts w:asciiTheme="minorHAnsi" w:hAnsiTheme="minorHAnsi"/>
                <w:szCs w:val="20"/>
              </w:rPr>
            </w:pPr>
            <w:r w:rsidRPr="00627DA0">
              <w:t>0%</w:t>
            </w:r>
          </w:p>
        </w:tc>
        <w:tc>
          <w:tcPr>
            <w:tcW w:w="889" w:type="pct"/>
            <w:shd w:val="clear" w:color="auto" w:fill="F2F2F2" w:themeFill="background1" w:themeFillShade="F2"/>
          </w:tcPr>
          <w:p w14:paraId="628993B6" w14:textId="6080FDA9" w:rsidR="00B81A25" w:rsidRPr="00627DA0" w:rsidRDefault="00B81A25" w:rsidP="00B81A25">
            <w:pPr>
              <w:pStyle w:val="TableContent"/>
              <w:jc w:val="right"/>
              <w:rPr>
                <w:rFonts w:asciiTheme="minorHAnsi" w:hAnsiTheme="minorHAnsi"/>
                <w:szCs w:val="20"/>
              </w:rPr>
            </w:pPr>
            <w:r w:rsidRPr="00627DA0">
              <w:t>51%</w:t>
            </w:r>
          </w:p>
        </w:tc>
        <w:tc>
          <w:tcPr>
            <w:tcW w:w="888" w:type="pct"/>
            <w:shd w:val="clear" w:color="auto" w:fill="F2F2F2" w:themeFill="background1" w:themeFillShade="F2"/>
          </w:tcPr>
          <w:p w14:paraId="52F48E86" w14:textId="675B3A54" w:rsidR="00B81A25" w:rsidRPr="00627DA0" w:rsidRDefault="00B81A25" w:rsidP="00B81A25">
            <w:pPr>
              <w:pStyle w:val="TableContent"/>
              <w:jc w:val="right"/>
              <w:rPr>
                <w:rFonts w:asciiTheme="minorHAnsi" w:hAnsiTheme="minorHAnsi"/>
                <w:color w:val="000000"/>
                <w:szCs w:val="20"/>
              </w:rPr>
            </w:pPr>
            <w:r w:rsidRPr="00627DA0">
              <w:t>51%</w:t>
            </w:r>
          </w:p>
        </w:tc>
        <w:tc>
          <w:tcPr>
            <w:tcW w:w="886" w:type="pct"/>
            <w:shd w:val="clear" w:color="auto" w:fill="F2F2F2" w:themeFill="background1" w:themeFillShade="F2"/>
          </w:tcPr>
          <w:p w14:paraId="0B0C899E" w14:textId="00EEE8C9" w:rsidR="00B81A25" w:rsidRPr="00627DA0" w:rsidRDefault="00B81A25" w:rsidP="00B81A25">
            <w:pPr>
              <w:pStyle w:val="TableContent"/>
              <w:jc w:val="right"/>
              <w:rPr>
                <w:rFonts w:asciiTheme="minorHAnsi" w:hAnsiTheme="minorHAnsi"/>
                <w:szCs w:val="20"/>
              </w:rPr>
            </w:pPr>
            <w:r w:rsidRPr="00627DA0">
              <w:t>3%</w:t>
            </w:r>
          </w:p>
        </w:tc>
      </w:tr>
      <w:tr w:rsidR="00B81A25" w:rsidRPr="00627DA0" w14:paraId="2526DD75" w14:textId="77777777" w:rsidTr="002B151F">
        <w:trPr>
          <w:trHeight w:val="200"/>
        </w:trPr>
        <w:tc>
          <w:tcPr>
            <w:tcW w:w="1448" w:type="pct"/>
          </w:tcPr>
          <w:p w14:paraId="036DEADE" w14:textId="77777777" w:rsidR="00B81A25" w:rsidRPr="00627DA0" w:rsidRDefault="00B81A25" w:rsidP="00B81A25">
            <w:pPr>
              <w:pStyle w:val="TableContent"/>
              <w:rPr>
                <w:szCs w:val="20"/>
              </w:rPr>
            </w:pPr>
            <w:r w:rsidRPr="00627DA0">
              <w:rPr>
                <w:szCs w:val="20"/>
              </w:rPr>
              <w:t xml:space="preserve">   Central Air Conditioning</w:t>
            </w:r>
          </w:p>
        </w:tc>
        <w:tc>
          <w:tcPr>
            <w:tcW w:w="889" w:type="pct"/>
          </w:tcPr>
          <w:p w14:paraId="2AD80810" w14:textId="09FB48B6" w:rsidR="00B81A25" w:rsidRPr="00627DA0" w:rsidRDefault="00B81A25" w:rsidP="00B81A25">
            <w:pPr>
              <w:pStyle w:val="TableContent"/>
              <w:jc w:val="right"/>
              <w:rPr>
                <w:rFonts w:asciiTheme="minorHAnsi" w:hAnsiTheme="minorHAnsi"/>
                <w:szCs w:val="20"/>
              </w:rPr>
            </w:pPr>
            <w:r w:rsidRPr="00627DA0">
              <w:t>36%</w:t>
            </w:r>
          </w:p>
        </w:tc>
        <w:tc>
          <w:tcPr>
            <w:tcW w:w="889" w:type="pct"/>
          </w:tcPr>
          <w:p w14:paraId="3CBA173E" w14:textId="78664928" w:rsidR="00B81A25" w:rsidRPr="00627DA0" w:rsidRDefault="00B81A25" w:rsidP="00B81A25">
            <w:pPr>
              <w:pStyle w:val="TableContent"/>
              <w:jc w:val="right"/>
              <w:rPr>
                <w:rFonts w:asciiTheme="minorHAnsi" w:hAnsiTheme="minorHAnsi"/>
                <w:szCs w:val="20"/>
              </w:rPr>
            </w:pPr>
            <w:r w:rsidRPr="00627DA0">
              <w:t>11%</w:t>
            </w:r>
          </w:p>
        </w:tc>
        <w:tc>
          <w:tcPr>
            <w:tcW w:w="888" w:type="pct"/>
          </w:tcPr>
          <w:p w14:paraId="4A1A7FA9" w14:textId="45EEF55B" w:rsidR="00B81A25" w:rsidRPr="00627DA0" w:rsidRDefault="00B81A25" w:rsidP="00B81A25">
            <w:pPr>
              <w:pStyle w:val="TableContent"/>
              <w:jc w:val="right"/>
              <w:rPr>
                <w:rFonts w:asciiTheme="minorHAnsi" w:hAnsiTheme="minorHAnsi"/>
                <w:color w:val="000000"/>
                <w:szCs w:val="20"/>
              </w:rPr>
            </w:pPr>
            <w:r w:rsidRPr="00627DA0">
              <w:t>11%</w:t>
            </w:r>
          </w:p>
        </w:tc>
        <w:tc>
          <w:tcPr>
            <w:tcW w:w="886" w:type="pct"/>
          </w:tcPr>
          <w:p w14:paraId="75A063F0" w14:textId="027EBDAB" w:rsidR="00B81A25" w:rsidRPr="00627DA0" w:rsidRDefault="00B81A25" w:rsidP="00B81A25">
            <w:pPr>
              <w:pStyle w:val="TableContent"/>
              <w:jc w:val="right"/>
              <w:rPr>
                <w:rFonts w:asciiTheme="minorHAnsi" w:hAnsiTheme="minorHAnsi"/>
                <w:szCs w:val="20"/>
              </w:rPr>
            </w:pPr>
            <w:r w:rsidRPr="00627DA0">
              <w:t>23%</w:t>
            </w:r>
          </w:p>
        </w:tc>
      </w:tr>
      <w:tr w:rsidR="00B81A25" w:rsidRPr="00627DA0" w14:paraId="185A3003" w14:textId="77777777" w:rsidTr="002B151F">
        <w:trPr>
          <w:trHeight w:val="200"/>
        </w:trPr>
        <w:tc>
          <w:tcPr>
            <w:tcW w:w="1448" w:type="pct"/>
            <w:tcBorders>
              <w:bottom w:val="single" w:sz="4" w:space="0" w:color="000000" w:themeColor="text1"/>
            </w:tcBorders>
            <w:shd w:val="clear" w:color="auto" w:fill="F2F2F2" w:themeFill="background1" w:themeFillShade="F2"/>
          </w:tcPr>
          <w:p w14:paraId="5F0AA14D" w14:textId="77777777" w:rsidR="00B81A25" w:rsidRPr="00627DA0" w:rsidRDefault="00B81A25" w:rsidP="00B81A25">
            <w:pPr>
              <w:pStyle w:val="TableContent"/>
              <w:rPr>
                <w:szCs w:val="20"/>
              </w:rPr>
            </w:pPr>
            <w:r w:rsidRPr="00627DA0">
              <w:rPr>
                <w:szCs w:val="20"/>
              </w:rPr>
              <w:t xml:space="preserve">   Room Air Conditioning</w:t>
            </w:r>
          </w:p>
        </w:tc>
        <w:tc>
          <w:tcPr>
            <w:tcW w:w="889" w:type="pct"/>
            <w:tcBorders>
              <w:bottom w:val="single" w:sz="4" w:space="0" w:color="000000" w:themeColor="text1"/>
            </w:tcBorders>
            <w:shd w:val="clear" w:color="auto" w:fill="F2F2F2" w:themeFill="background1" w:themeFillShade="F2"/>
          </w:tcPr>
          <w:p w14:paraId="35DAF1F9" w14:textId="31E91135" w:rsidR="00B81A25" w:rsidRPr="00627DA0" w:rsidRDefault="00B81A25" w:rsidP="00B81A25">
            <w:pPr>
              <w:pStyle w:val="TableContent"/>
              <w:jc w:val="right"/>
              <w:rPr>
                <w:rFonts w:asciiTheme="minorHAnsi" w:hAnsiTheme="minorHAnsi"/>
                <w:szCs w:val="20"/>
              </w:rPr>
            </w:pPr>
            <w:r w:rsidRPr="00627DA0">
              <w:t>13%</w:t>
            </w:r>
          </w:p>
        </w:tc>
        <w:tc>
          <w:tcPr>
            <w:tcW w:w="889" w:type="pct"/>
            <w:tcBorders>
              <w:bottom w:val="single" w:sz="4" w:space="0" w:color="000000" w:themeColor="text1"/>
            </w:tcBorders>
            <w:shd w:val="clear" w:color="auto" w:fill="F2F2F2" w:themeFill="background1" w:themeFillShade="F2"/>
          </w:tcPr>
          <w:p w14:paraId="2B819F9F" w14:textId="7596C18E" w:rsidR="00B81A25" w:rsidRPr="00627DA0" w:rsidRDefault="00B81A25" w:rsidP="00B81A25">
            <w:pPr>
              <w:pStyle w:val="TableContent"/>
              <w:jc w:val="right"/>
              <w:rPr>
                <w:rFonts w:asciiTheme="minorHAnsi" w:hAnsiTheme="minorHAnsi"/>
                <w:szCs w:val="20"/>
              </w:rPr>
            </w:pPr>
            <w:r w:rsidRPr="00627DA0">
              <w:t>64%</w:t>
            </w:r>
          </w:p>
        </w:tc>
        <w:tc>
          <w:tcPr>
            <w:tcW w:w="888" w:type="pct"/>
            <w:tcBorders>
              <w:bottom w:val="single" w:sz="4" w:space="0" w:color="000000" w:themeColor="text1"/>
            </w:tcBorders>
            <w:shd w:val="clear" w:color="auto" w:fill="F2F2F2" w:themeFill="background1" w:themeFillShade="F2"/>
          </w:tcPr>
          <w:p w14:paraId="26D55926" w14:textId="2B4E5334" w:rsidR="00B81A25" w:rsidRPr="00627DA0" w:rsidRDefault="00B81A25" w:rsidP="00B81A25">
            <w:pPr>
              <w:pStyle w:val="TableContent"/>
              <w:jc w:val="right"/>
              <w:rPr>
                <w:rFonts w:asciiTheme="minorHAnsi" w:hAnsiTheme="minorHAnsi"/>
                <w:color w:val="000000"/>
                <w:szCs w:val="20"/>
              </w:rPr>
            </w:pPr>
            <w:r w:rsidRPr="00627DA0">
              <w:t>64%</w:t>
            </w:r>
          </w:p>
        </w:tc>
        <w:tc>
          <w:tcPr>
            <w:tcW w:w="886" w:type="pct"/>
            <w:tcBorders>
              <w:bottom w:val="single" w:sz="4" w:space="0" w:color="000000" w:themeColor="text1"/>
            </w:tcBorders>
            <w:shd w:val="clear" w:color="auto" w:fill="F2F2F2" w:themeFill="background1" w:themeFillShade="F2"/>
          </w:tcPr>
          <w:p w14:paraId="61C9DE18" w14:textId="415F46C5" w:rsidR="00B81A25" w:rsidRPr="00627DA0" w:rsidRDefault="00B81A25" w:rsidP="00B81A25">
            <w:pPr>
              <w:pStyle w:val="TableContent"/>
              <w:jc w:val="right"/>
              <w:rPr>
                <w:rFonts w:asciiTheme="minorHAnsi" w:hAnsiTheme="minorHAnsi"/>
                <w:szCs w:val="20"/>
              </w:rPr>
            </w:pPr>
            <w:r w:rsidRPr="00627DA0">
              <w:t>29%</w:t>
            </w:r>
          </w:p>
        </w:tc>
      </w:tr>
      <w:tr w:rsidR="00B81A25" w:rsidRPr="00627DA0" w14:paraId="733D8E8D" w14:textId="77777777" w:rsidTr="002B151F">
        <w:trPr>
          <w:trHeight w:val="200"/>
        </w:trPr>
        <w:tc>
          <w:tcPr>
            <w:tcW w:w="1448" w:type="pct"/>
            <w:tcBorders>
              <w:top w:val="single" w:sz="4" w:space="0" w:color="000000" w:themeColor="text1"/>
              <w:bottom w:val="single" w:sz="4" w:space="0" w:color="000000" w:themeColor="text1"/>
            </w:tcBorders>
            <w:shd w:val="clear" w:color="auto" w:fill="E7E6E6" w:themeFill="background2"/>
          </w:tcPr>
          <w:p w14:paraId="56F0AF24" w14:textId="77777777" w:rsidR="00B81A25" w:rsidRPr="00627DA0" w:rsidRDefault="00B81A25" w:rsidP="002B151F">
            <w:pPr>
              <w:pStyle w:val="TableContent"/>
              <w:rPr>
                <w:szCs w:val="20"/>
              </w:rPr>
            </w:pPr>
            <w:r w:rsidRPr="00627DA0">
              <w:rPr>
                <w:b/>
                <w:bCs/>
                <w:szCs w:val="20"/>
              </w:rPr>
              <w:t>Other Appliances</w:t>
            </w:r>
          </w:p>
        </w:tc>
        <w:tc>
          <w:tcPr>
            <w:tcW w:w="889" w:type="pct"/>
            <w:tcBorders>
              <w:top w:val="single" w:sz="4" w:space="0" w:color="000000" w:themeColor="text1"/>
              <w:bottom w:val="single" w:sz="4" w:space="0" w:color="000000" w:themeColor="text1"/>
            </w:tcBorders>
            <w:shd w:val="clear" w:color="auto" w:fill="E7E6E6" w:themeFill="background2"/>
            <w:vAlign w:val="bottom"/>
          </w:tcPr>
          <w:p w14:paraId="6A7BDFED" w14:textId="77777777" w:rsidR="00B81A25" w:rsidRPr="00627DA0" w:rsidRDefault="00B81A25" w:rsidP="002B151F">
            <w:pPr>
              <w:pStyle w:val="TableContent"/>
              <w:jc w:val="right"/>
              <w:rPr>
                <w:rFonts w:asciiTheme="minorHAnsi" w:hAnsiTheme="minorHAnsi"/>
                <w:szCs w:val="20"/>
              </w:rPr>
            </w:pPr>
            <w:r w:rsidRPr="00627DA0">
              <w:rPr>
                <w:rFonts w:asciiTheme="minorHAnsi" w:hAnsiTheme="minorHAnsi"/>
                <w:color w:val="000000"/>
                <w:szCs w:val="20"/>
              </w:rPr>
              <w:t> </w:t>
            </w:r>
          </w:p>
        </w:tc>
        <w:tc>
          <w:tcPr>
            <w:tcW w:w="889" w:type="pct"/>
            <w:tcBorders>
              <w:top w:val="single" w:sz="4" w:space="0" w:color="000000" w:themeColor="text1"/>
              <w:bottom w:val="single" w:sz="4" w:space="0" w:color="000000" w:themeColor="text1"/>
            </w:tcBorders>
            <w:shd w:val="clear" w:color="auto" w:fill="E7E6E6" w:themeFill="background2"/>
            <w:vAlign w:val="bottom"/>
          </w:tcPr>
          <w:p w14:paraId="2D4A7DDC" w14:textId="77777777" w:rsidR="00B81A25" w:rsidRPr="00627DA0" w:rsidRDefault="00B81A25" w:rsidP="002B151F">
            <w:pPr>
              <w:pStyle w:val="TableContent"/>
              <w:jc w:val="right"/>
              <w:rPr>
                <w:rFonts w:asciiTheme="minorHAnsi" w:hAnsiTheme="minorHAnsi" w:cs="Calibri"/>
                <w:szCs w:val="20"/>
              </w:rPr>
            </w:pPr>
            <w:r w:rsidRPr="00627DA0">
              <w:rPr>
                <w:rFonts w:asciiTheme="minorHAnsi" w:hAnsiTheme="minorHAnsi"/>
                <w:color w:val="000000"/>
                <w:szCs w:val="20"/>
              </w:rPr>
              <w:t> </w:t>
            </w:r>
          </w:p>
        </w:tc>
        <w:tc>
          <w:tcPr>
            <w:tcW w:w="888" w:type="pct"/>
            <w:tcBorders>
              <w:top w:val="single" w:sz="4" w:space="0" w:color="000000" w:themeColor="text1"/>
              <w:bottom w:val="single" w:sz="4" w:space="0" w:color="000000" w:themeColor="text1"/>
            </w:tcBorders>
            <w:shd w:val="clear" w:color="auto" w:fill="E7E6E6" w:themeFill="background2"/>
            <w:vAlign w:val="bottom"/>
          </w:tcPr>
          <w:p w14:paraId="1DCB36F1" w14:textId="77777777" w:rsidR="00B81A25" w:rsidRPr="00627DA0" w:rsidRDefault="00B81A25" w:rsidP="002B151F">
            <w:pPr>
              <w:pStyle w:val="TableContent"/>
              <w:jc w:val="right"/>
              <w:rPr>
                <w:rFonts w:asciiTheme="minorHAnsi" w:hAnsiTheme="minorHAnsi"/>
                <w:color w:val="000000"/>
                <w:szCs w:val="20"/>
              </w:rPr>
            </w:pPr>
            <w:r w:rsidRPr="00627DA0">
              <w:rPr>
                <w:rFonts w:asciiTheme="minorHAnsi" w:hAnsiTheme="minorHAnsi"/>
                <w:color w:val="000000"/>
                <w:szCs w:val="20"/>
              </w:rPr>
              <w:t> </w:t>
            </w:r>
          </w:p>
        </w:tc>
        <w:tc>
          <w:tcPr>
            <w:tcW w:w="886" w:type="pct"/>
            <w:tcBorders>
              <w:top w:val="single" w:sz="4" w:space="0" w:color="000000" w:themeColor="text1"/>
              <w:bottom w:val="single" w:sz="4" w:space="0" w:color="000000" w:themeColor="text1"/>
            </w:tcBorders>
            <w:shd w:val="clear" w:color="auto" w:fill="E7E6E6" w:themeFill="background2"/>
            <w:vAlign w:val="bottom"/>
          </w:tcPr>
          <w:p w14:paraId="1807831C" w14:textId="77777777" w:rsidR="00B81A25" w:rsidRPr="00627DA0" w:rsidRDefault="00B81A25" w:rsidP="002B151F">
            <w:pPr>
              <w:pStyle w:val="TableContent"/>
              <w:jc w:val="right"/>
              <w:rPr>
                <w:rFonts w:asciiTheme="minorHAnsi" w:hAnsiTheme="minorHAnsi" w:cs="Calibri"/>
                <w:szCs w:val="20"/>
              </w:rPr>
            </w:pPr>
            <w:r w:rsidRPr="00627DA0">
              <w:rPr>
                <w:rFonts w:asciiTheme="minorHAnsi" w:hAnsiTheme="minorHAnsi"/>
                <w:color w:val="000000"/>
                <w:szCs w:val="20"/>
              </w:rPr>
              <w:t> </w:t>
            </w:r>
          </w:p>
        </w:tc>
      </w:tr>
      <w:tr w:rsidR="001B0FBC" w:rsidRPr="00627DA0" w14:paraId="5B5950BD" w14:textId="77777777" w:rsidTr="002B151F">
        <w:trPr>
          <w:trHeight w:val="200"/>
        </w:trPr>
        <w:tc>
          <w:tcPr>
            <w:tcW w:w="1448" w:type="pct"/>
            <w:tcBorders>
              <w:top w:val="single" w:sz="4" w:space="0" w:color="000000" w:themeColor="text1"/>
            </w:tcBorders>
            <w:vAlign w:val="center"/>
          </w:tcPr>
          <w:p w14:paraId="1B92BF12" w14:textId="77777777" w:rsidR="001B0FBC" w:rsidRPr="00627DA0" w:rsidRDefault="001B0FBC" w:rsidP="001B0FBC">
            <w:pPr>
              <w:pStyle w:val="TableContent"/>
              <w:rPr>
                <w:b/>
                <w:bCs/>
                <w:szCs w:val="20"/>
              </w:rPr>
            </w:pPr>
            <w:r w:rsidRPr="00627DA0">
              <w:rPr>
                <w:rFonts w:cs="Calibri"/>
                <w:szCs w:val="20"/>
              </w:rPr>
              <w:t xml:space="preserve">   Electric Water Heater</w:t>
            </w:r>
          </w:p>
        </w:tc>
        <w:tc>
          <w:tcPr>
            <w:tcW w:w="889" w:type="pct"/>
            <w:tcBorders>
              <w:top w:val="single" w:sz="4" w:space="0" w:color="000000" w:themeColor="text1"/>
            </w:tcBorders>
          </w:tcPr>
          <w:p w14:paraId="67B8D527" w14:textId="18D14478" w:rsidR="001B0FBC" w:rsidRPr="00627DA0" w:rsidRDefault="001B0FBC" w:rsidP="001B0FBC">
            <w:pPr>
              <w:pStyle w:val="TableContent"/>
              <w:jc w:val="right"/>
              <w:rPr>
                <w:rFonts w:asciiTheme="minorHAnsi" w:hAnsiTheme="minorHAnsi"/>
                <w:b/>
                <w:bCs/>
                <w:szCs w:val="20"/>
              </w:rPr>
            </w:pPr>
            <w:r w:rsidRPr="00627DA0">
              <w:t>63%</w:t>
            </w:r>
          </w:p>
        </w:tc>
        <w:tc>
          <w:tcPr>
            <w:tcW w:w="889" w:type="pct"/>
            <w:tcBorders>
              <w:top w:val="single" w:sz="4" w:space="0" w:color="000000" w:themeColor="text1"/>
            </w:tcBorders>
          </w:tcPr>
          <w:p w14:paraId="38D61B2D" w14:textId="39E56465" w:rsidR="001B0FBC" w:rsidRPr="00627DA0" w:rsidRDefault="001B0FBC" w:rsidP="001B0FBC">
            <w:pPr>
              <w:pStyle w:val="TableContent"/>
              <w:jc w:val="right"/>
              <w:rPr>
                <w:rFonts w:asciiTheme="minorHAnsi" w:hAnsiTheme="minorHAnsi" w:cs="Calibri"/>
                <w:b/>
                <w:bCs/>
                <w:szCs w:val="20"/>
              </w:rPr>
            </w:pPr>
            <w:r w:rsidRPr="00627DA0">
              <w:t>78%</w:t>
            </w:r>
          </w:p>
        </w:tc>
        <w:tc>
          <w:tcPr>
            <w:tcW w:w="888" w:type="pct"/>
            <w:tcBorders>
              <w:top w:val="single" w:sz="4" w:space="0" w:color="000000" w:themeColor="text1"/>
            </w:tcBorders>
          </w:tcPr>
          <w:p w14:paraId="08DD574E" w14:textId="056CFC8F" w:rsidR="001B0FBC" w:rsidRPr="00627DA0" w:rsidRDefault="001B0FBC" w:rsidP="001B0FBC">
            <w:pPr>
              <w:pStyle w:val="TableContent"/>
              <w:jc w:val="right"/>
              <w:rPr>
                <w:rFonts w:asciiTheme="minorHAnsi" w:hAnsiTheme="minorHAnsi"/>
                <w:color w:val="000000"/>
                <w:szCs w:val="20"/>
              </w:rPr>
            </w:pPr>
            <w:r w:rsidRPr="00627DA0">
              <w:t>78%</w:t>
            </w:r>
          </w:p>
        </w:tc>
        <w:tc>
          <w:tcPr>
            <w:tcW w:w="886" w:type="pct"/>
            <w:tcBorders>
              <w:top w:val="single" w:sz="4" w:space="0" w:color="000000" w:themeColor="text1"/>
            </w:tcBorders>
          </w:tcPr>
          <w:p w14:paraId="2E6B0987" w14:textId="44E45650" w:rsidR="001B0FBC" w:rsidRPr="00627DA0" w:rsidRDefault="001B0FBC" w:rsidP="001B0FBC">
            <w:pPr>
              <w:pStyle w:val="TableContent"/>
              <w:jc w:val="right"/>
              <w:rPr>
                <w:rFonts w:asciiTheme="minorHAnsi" w:hAnsiTheme="minorHAnsi" w:cs="Calibri"/>
                <w:b/>
                <w:bCs/>
                <w:szCs w:val="20"/>
              </w:rPr>
            </w:pPr>
            <w:r w:rsidRPr="00627DA0">
              <w:t>91%</w:t>
            </w:r>
          </w:p>
        </w:tc>
      </w:tr>
      <w:tr w:rsidR="001B0FBC" w:rsidRPr="00627DA0" w14:paraId="2FA7B041" w14:textId="77777777" w:rsidTr="002B151F">
        <w:trPr>
          <w:trHeight w:val="200"/>
        </w:trPr>
        <w:tc>
          <w:tcPr>
            <w:tcW w:w="1448" w:type="pct"/>
            <w:shd w:val="clear" w:color="auto" w:fill="F2F2F2" w:themeFill="background1" w:themeFillShade="F2"/>
            <w:vAlign w:val="center"/>
          </w:tcPr>
          <w:p w14:paraId="0C7B548E" w14:textId="77777777" w:rsidR="001B0FBC" w:rsidRPr="00627DA0" w:rsidRDefault="001B0FBC" w:rsidP="001B0FBC">
            <w:pPr>
              <w:pStyle w:val="TableContent"/>
              <w:rPr>
                <w:b/>
                <w:bCs/>
                <w:szCs w:val="20"/>
              </w:rPr>
            </w:pPr>
            <w:r w:rsidRPr="00627DA0">
              <w:rPr>
                <w:rFonts w:cs="Calibri"/>
                <w:szCs w:val="20"/>
              </w:rPr>
              <w:t xml:space="preserve">   Refrigerator</w:t>
            </w:r>
          </w:p>
        </w:tc>
        <w:tc>
          <w:tcPr>
            <w:tcW w:w="889" w:type="pct"/>
            <w:shd w:val="clear" w:color="auto" w:fill="F2F2F2" w:themeFill="background1" w:themeFillShade="F2"/>
          </w:tcPr>
          <w:p w14:paraId="726782A8" w14:textId="761DE657" w:rsidR="001B0FBC" w:rsidRPr="00627DA0" w:rsidRDefault="001B0FBC" w:rsidP="001B0FBC">
            <w:pPr>
              <w:pStyle w:val="TableContent"/>
              <w:jc w:val="right"/>
              <w:rPr>
                <w:rFonts w:asciiTheme="minorHAnsi" w:hAnsiTheme="minorHAnsi"/>
                <w:b/>
                <w:bCs/>
                <w:szCs w:val="20"/>
              </w:rPr>
            </w:pPr>
            <w:r w:rsidRPr="00627DA0">
              <w:t>152%</w:t>
            </w:r>
          </w:p>
        </w:tc>
        <w:tc>
          <w:tcPr>
            <w:tcW w:w="889" w:type="pct"/>
            <w:shd w:val="clear" w:color="auto" w:fill="F2F2F2" w:themeFill="background1" w:themeFillShade="F2"/>
          </w:tcPr>
          <w:p w14:paraId="080C5448" w14:textId="38BDAEB6" w:rsidR="001B0FBC" w:rsidRPr="00627DA0" w:rsidRDefault="001B0FBC" w:rsidP="001B0FBC">
            <w:pPr>
              <w:pStyle w:val="TableContent"/>
              <w:jc w:val="right"/>
              <w:rPr>
                <w:rFonts w:asciiTheme="minorHAnsi" w:hAnsiTheme="minorHAnsi" w:cs="Calibri"/>
                <w:b/>
                <w:bCs/>
                <w:szCs w:val="20"/>
              </w:rPr>
            </w:pPr>
            <w:r w:rsidRPr="00627DA0">
              <w:t>99%</w:t>
            </w:r>
          </w:p>
        </w:tc>
        <w:tc>
          <w:tcPr>
            <w:tcW w:w="888" w:type="pct"/>
            <w:shd w:val="clear" w:color="auto" w:fill="F2F2F2" w:themeFill="background1" w:themeFillShade="F2"/>
          </w:tcPr>
          <w:p w14:paraId="5C09FB56" w14:textId="5571ED4C" w:rsidR="001B0FBC" w:rsidRPr="00627DA0" w:rsidRDefault="001B0FBC" w:rsidP="001B0FBC">
            <w:pPr>
              <w:pStyle w:val="TableContent"/>
              <w:jc w:val="right"/>
              <w:rPr>
                <w:rFonts w:asciiTheme="minorHAnsi" w:hAnsiTheme="minorHAnsi"/>
                <w:color w:val="000000"/>
                <w:szCs w:val="20"/>
              </w:rPr>
            </w:pPr>
            <w:r w:rsidRPr="00627DA0">
              <w:t>99%</w:t>
            </w:r>
          </w:p>
        </w:tc>
        <w:tc>
          <w:tcPr>
            <w:tcW w:w="886" w:type="pct"/>
            <w:shd w:val="clear" w:color="auto" w:fill="F2F2F2" w:themeFill="background1" w:themeFillShade="F2"/>
          </w:tcPr>
          <w:p w14:paraId="05FC0064" w14:textId="11608BB6" w:rsidR="001B0FBC" w:rsidRPr="00627DA0" w:rsidRDefault="001B0FBC" w:rsidP="001B0FBC">
            <w:pPr>
              <w:pStyle w:val="TableContent"/>
              <w:jc w:val="right"/>
              <w:rPr>
                <w:rFonts w:asciiTheme="minorHAnsi" w:hAnsiTheme="minorHAnsi" w:cs="Calibri"/>
                <w:b/>
                <w:bCs/>
                <w:szCs w:val="20"/>
              </w:rPr>
            </w:pPr>
            <w:r w:rsidRPr="00627DA0">
              <w:t>132%</w:t>
            </w:r>
          </w:p>
        </w:tc>
      </w:tr>
      <w:tr w:rsidR="001B0FBC" w:rsidRPr="00627DA0" w14:paraId="728D1449" w14:textId="77777777" w:rsidTr="002B151F">
        <w:trPr>
          <w:trHeight w:val="200"/>
        </w:trPr>
        <w:tc>
          <w:tcPr>
            <w:tcW w:w="1448" w:type="pct"/>
            <w:vAlign w:val="center"/>
          </w:tcPr>
          <w:p w14:paraId="4F2182BB" w14:textId="77777777" w:rsidR="001B0FBC" w:rsidRPr="00627DA0" w:rsidRDefault="001B0FBC" w:rsidP="001B0FBC">
            <w:pPr>
              <w:pStyle w:val="TableContent"/>
              <w:rPr>
                <w:b/>
                <w:bCs/>
                <w:szCs w:val="20"/>
              </w:rPr>
            </w:pPr>
            <w:r w:rsidRPr="00627DA0">
              <w:rPr>
                <w:rFonts w:cs="Calibri"/>
                <w:szCs w:val="20"/>
              </w:rPr>
              <w:t xml:space="preserve">   Freezer</w:t>
            </w:r>
          </w:p>
        </w:tc>
        <w:tc>
          <w:tcPr>
            <w:tcW w:w="889" w:type="pct"/>
          </w:tcPr>
          <w:p w14:paraId="53A126F6" w14:textId="09362372" w:rsidR="001B0FBC" w:rsidRPr="00627DA0" w:rsidRDefault="001B0FBC" w:rsidP="001B0FBC">
            <w:pPr>
              <w:pStyle w:val="TableContent"/>
              <w:jc w:val="right"/>
              <w:rPr>
                <w:rFonts w:asciiTheme="minorHAnsi" w:hAnsiTheme="minorHAnsi"/>
                <w:b/>
                <w:bCs/>
                <w:szCs w:val="20"/>
              </w:rPr>
            </w:pPr>
            <w:r w:rsidRPr="00627DA0">
              <w:t>104%</w:t>
            </w:r>
          </w:p>
        </w:tc>
        <w:tc>
          <w:tcPr>
            <w:tcW w:w="889" w:type="pct"/>
          </w:tcPr>
          <w:p w14:paraId="68607BD7" w14:textId="2FFAEBA8" w:rsidR="001B0FBC" w:rsidRPr="00627DA0" w:rsidRDefault="001B0FBC" w:rsidP="001B0FBC">
            <w:pPr>
              <w:pStyle w:val="TableContent"/>
              <w:jc w:val="right"/>
              <w:rPr>
                <w:rFonts w:asciiTheme="minorHAnsi" w:hAnsiTheme="minorHAnsi" w:cs="Calibri"/>
                <w:b/>
                <w:bCs/>
                <w:szCs w:val="20"/>
              </w:rPr>
            </w:pPr>
            <w:r w:rsidRPr="00627DA0">
              <w:t>26%</w:t>
            </w:r>
          </w:p>
        </w:tc>
        <w:tc>
          <w:tcPr>
            <w:tcW w:w="888" w:type="pct"/>
          </w:tcPr>
          <w:p w14:paraId="587BC417" w14:textId="5DE267FE" w:rsidR="001B0FBC" w:rsidRPr="00627DA0" w:rsidRDefault="001B0FBC" w:rsidP="001B0FBC">
            <w:pPr>
              <w:pStyle w:val="TableContent"/>
              <w:jc w:val="right"/>
              <w:rPr>
                <w:rFonts w:asciiTheme="minorHAnsi" w:hAnsiTheme="minorHAnsi"/>
                <w:color w:val="000000"/>
                <w:szCs w:val="20"/>
              </w:rPr>
            </w:pPr>
            <w:r w:rsidRPr="00627DA0">
              <w:t>26%</w:t>
            </w:r>
          </w:p>
        </w:tc>
        <w:tc>
          <w:tcPr>
            <w:tcW w:w="886" w:type="pct"/>
          </w:tcPr>
          <w:p w14:paraId="1F1E9028" w14:textId="429B39E1" w:rsidR="001B0FBC" w:rsidRPr="00627DA0" w:rsidRDefault="001B0FBC" w:rsidP="001B0FBC">
            <w:pPr>
              <w:pStyle w:val="TableContent"/>
              <w:jc w:val="right"/>
              <w:rPr>
                <w:rFonts w:asciiTheme="minorHAnsi" w:hAnsiTheme="minorHAnsi" w:cs="Calibri"/>
                <w:b/>
                <w:bCs/>
                <w:szCs w:val="20"/>
              </w:rPr>
            </w:pPr>
            <w:r w:rsidRPr="00627DA0">
              <w:t>96%</w:t>
            </w:r>
          </w:p>
        </w:tc>
      </w:tr>
      <w:tr w:rsidR="001B0FBC" w:rsidRPr="00627DA0" w14:paraId="6D4CAEDE" w14:textId="77777777" w:rsidTr="002B151F">
        <w:trPr>
          <w:trHeight w:val="200"/>
        </w:trPr>
        <w:tc>
          <w:tcPr>
            <w:tcW w:w="1448" w:type="pct"/>
            <w:shd w:val="clear" w:color="auto" w:fill="F2F2F2" w:themeFill="background1" w:themeFillShade="F2"/>
            <w:vAlign w:val="center"/>
          </w:tcPr>
          <w:p w14:paraId="295038D8" w14:textId="77777777" w:rsidR="001B0FBC" w:rsidRPr="00627DA0" w:rsidRDefault="001B0FBC" w:rsidP="001B0FBC">
            <w:pPr>
              <w:pStyle w:val="TableContent"/>
              <w:rPr>
                <w:b/>
                <w:bCs/>
                <w:szCs w:val="20"/>
              </w:rPr>
            </w:pPr>
            <w:r w:rsidRPr="00627DA0">
              <w:rPr>
                <w:rFonts w:cs="Calibri"/>
                <w:szCs w:val="20"/>
              </w:rPr>
              <w:t xml:space="preserve">   Clothes Washer</w:t>
            </w:r>
          </w:p>
        </w:tc>
        <w:tc>
          <w:tcPr>
            <w:tcW w:w="889" w:type="pct"/>
            <w:shd w:val="clear" w:color="auto" w:fill="F2F2F2" w:themeFill="background1" w:themeFillShade="F2"/>
          </w:tcPr>
          <w:p w14:paraId="05A187EB" w14:textId="4E328856" w:rsidR="001B0FBC" w:rsidRPr="00627DA0" w:rsidRDefault="001B0FBC" w:rsidP="001B0FBC">
            <w:pPr>
              <w:pStyle w:val="TableContent"/>
              <w:jc w:val="right"/>
              <w:rPr>
                <w:rFonts w:asciiTheme="minorHAnsi" w:hAnsiTheme="minorHAnsi"/>
                <w:b/>
                <w:bCs/>
                <w:szCs w:val="20"/>
              </w:rPr>
            </w:pPr>
            <w:r w:rsidRPr="00627DA0">
              <w:t>99%</w:t>
            </w:r>
          </w:p>
        </w:tc>
        <w:tc>
          <w:tcPr>
            <w:tcW w:w="889" w:type="pct"/>
            <w:shd w:val="clear" w:color="auto" w:fill="F2F2F2" w:themeFill="background1" w:themeFillShade="F2"/>
          </w:tcPr>
          <w:p w14:paraId="20E806DC" w14:textId="73751250" w:rsidR="001B0FBC" w:rsidRPr="00627DA0" w:rsidRDefault="001B0FBC" w:rsidP="001B0FBC">
            <w:pPr>
              <w:pStyle w:val="TableContent"/>
              <w:jc w:val="right"/>
              <w:rPr>
                <w:rFonts w:asciiTheme="minorHAnsi" w:hAnsiTheme="minorHAnsi" w:cs="Calibri"/>
                <w:b/>
                <w:bCs/>
                <w:szCs w:val="20"/>
              </w:rPr>
            </w:pPr>
            <w:r w:rsidRPr="00627DA0">
              <w:t>75%</w:t>
            </w:r>
          </w:p>
        </w:tc>
        <w:tc>
          <w:tcPr>
            <w:tcW w:w="888" w:type="pct"/>
            <w:shd w:val="clear" w:color="auto" w:fill="F2F2F2" w:themeFill="background1" w:themeFillShade="F2"/>
          </w:tcPr>
          <w:p w14:paraId="005BDA27" w14:textId="2A5B9F8F" w:rsidR="001B0FBC" w:rsidRPr="00627DA0" w:rsidRDefault="001B0FBC" w:rsidP="001B0FBC">
            <w:pPr>
              <w:pStyle w:val="TableContent"/>
              <w:jc w:val="right"/>
              <w:rPr>
                <w:rFonts w:asciiTheme="minorHAnsi" w:hAnsiTheme="minorHAnsi"/>
                <w:color w:val="000000"/>
                <w:szCs w:val="20"/>
              </w:rPr>
            </w:pPr>
            <w:r w:rsidRPr="00627DA0">
              <w:t>75%</w:t>
            </w:r>
          </w:p>
        </w:tc>
        <w:tc>
          <w:tcPr>
            <w:tcW w:w="886" w:type="pct"/>
            <w:shd w:val="clear" w:color="auto" w:fill="F2F2F2" w:themeFill="background1" w:themeFillShade="F2"/>
          </w:tcPr>
          <w:p w14:paraId="5ECCAE6F" w14:textId="0FF26D4E" w:rsidR="001B0FBC" w:rsidRPr="00627DA0" w:rsidRDefault="001B0FBC" w:rsidP="001B0FBC">
            <w:pPr>
              <w:pStyle w:val="TableContent"/>
              <w:jc w:val="right"/>
              <w:rPr>
                <w:rFonts w:asciiTheme="minorHAnsi" w:hAnsiTheme="minorHAnsi" w:cs="Calibri"/>
                <w:b/>
                <w:bCs/>
                <w:szCs w:val="20"/>
              </w:rPr>
            </w:pPr>
            <w:r w:rsidRPr="00627DA0">
              <w:t>96%</w:t>
            </w:r>
          </w:p>
        </w:tc>
      </w:tr>
      <w:tr w:rsidR="001B0FBC" w:rsidRPr="00627DA0" w14:paraId="63476453" w14:textId="77777777" w:rsidTr="002B151F">
        <w:trPr>
          <w:trHeight w:val="200"/>
        </w:trPr>
        <w:tc>
          <w:tcPr>
            <w:tcW w:w="1448" w:type="pct"/>
            <w:vAlign w:val="center"/>
          </w:tcPr>
          <w:p w14:paraId="31DD5B02" w14:textId="77777777" w:rsidR="001B0FBC" w:rsidRPr="00627DA0" w:rsidRDefault="001B0FBC" w:rsidP="001B0FBC">
            <w:pPr>
              <w:pStyle w:val="TableContent"/>
              <w:rPr>
                <w:b/>
                <w:bCs/>
                <w:szCs w:val="20"/>
              </w:rPr>
            </w:pPr>
            <w:r w:rsidRPr="00627DA0">
              <w:rPr>
                <w:rFonts w:cs="Calibri"/>
                <w:szCs w:val="20"/>
              </w:rPr>
              <w:t xml:space="preserve">   Electric Clothes Dryer</w:t>
            </w:r>
          </w:p>
        </w:tc>
        <w:tc>
          <w:tcPr>
            <w:tcW w:w="889" w:type="pct"/>
          </w:tcPr>
          <w:p w14:paraId="13F925FC" w14:textId="66C3AFA0" w:rsidR="001B0FBC" w:rsidRPr="00627DA0" w:rsidRDefault="001B0FBC" w:rsidP="001B0FBC">
            <w:pPr>
              <w:pStyle w:val="TableContent"/>
              <w:jc w:val="right"/>
              <w:rPr>
                <w:rFonts w:asciiTheme="minorHAnsi" w:hAnsiTheme="minorHAnsi"/>
                <w:b/>
                <w:bCs/>
                <w:szCs w:val="20"/>
              </w:rPr>
            </w:pPr>
            <w:r w:rsidRPr="00627DA0">
              <w:t>93%</w:t>
            </w:r>
          </w:p>
        </w:tc>
        <w:tc>
          <w:tcPr>
            <w:tcW w:w="889" w:type="pct"/>
          </w:tcPr>
          <w:p w14:paraId="5832E83F" w14:textId="2BDDB3D0" w:rsidR="001B0FBC" w:rsidRPr="00627DA0" w:rsidRDefault="001B0FBC" w:rsidP="001B0FBC">
            <w:pPr>
              <w:pStyle w:val="TableContent"/>
              <w:jc w:val="right"/>
              <w:rPr>
                <w:rFonts w:asciiTheme="minorHAnsi" w:hAnsiTheme="minorHAnsi" w:cs="Calibri"/>
                <w:b/>
                <w:bCs/>
                <w:szCs w:val="20"/>
              </w:rPr>
            </w:pPr>
            <w:r w:rsidRPr="00627DA0">
              <w:t>74%</w:t>
            </w:r>
          </w:p>
        </w:tc>
        <w:tc>
          <w:tcPr>
            <w:tcW w:w="888" w:type="pct"/>
          </w:tcPr>
          <w:p w14:paraId="34049F77" w14:textId="2AF740C9" w:rsidR="001B0FBC" w:rsidRPr="00627DA0" w:rsidRDefault="001B0FBC" w:rsidP="001B0FBC">
            <w:pPr>
              <w:pStyle w:val="TableContent"/>
              <w:jc w:val="right"/>
              <w:rPr>
                <w:rFonts w:asciiTheme="minorHAnsi" w:hAnsiTheme="minorHAnsi"/>
                <w:color w:val="000000"/>
                <w:szCs w:val="20"/>
              </w:rPr>
            </w:pPr>
            <w:r w:rsidRPr="00627DA0">
              <w:t>74%</w:t>
            </w:r>
          </w:p>
        </w:tc>
        <w:tc>
          <w:tcPr>
            <w:tcW w:w="886" w:type="pct"/>
          </w:tcPr>
          <w:p w14:paraId="30666542" w14:textId="5EEA3963" w:rsidR="001B0FBC" w:rsidRPr="00627DA0" w:rsidRDefault="001B0FBC" w:rsidP="001B0FBC">
            <w:pPr>
              <w:pStyle w:val="TableContent"/>
              <w:jc w:val="right"/>
              <w:rPr>
                <w:rFonts w:asciiTheme="minorHAnsi" w:hAnsiTheme="minorHAnsi" w:cs="Calibri"/>
                <w:b/>
                <w:bCs/>
                <w:szCs w:val="20"/>
              </w:rPr>
            </w:pPr>
            <w:r w:rsidRPr="00627DA0">
              <w:t>93%</w:t>
            </w:r>
          </w:p>
        </w:tc>
      </w:tr>
      <w:tr w:rsidR="001B0FBC" w:rsidRPr="00627DA0" w14:paraId="37129508" w14:textId="77777777" w:rsidTr="002B151F">
        <w:trPr>
          <w:trHeight w:val="200"/>
        </w:trPr>
        <w:tc>
          <w:tcPr>
            <w:tcW w:w="1448" w:type="pct"/>
            <w:shd w:val="clear" w:color="auto" w:fill="F2F2F2" w:themeFill="background1" w:themeFillShade="F2"/>
            <w:vAlign w:val="center"/>
          </w:tcPr>
          <w:p w14:paraId="44E0ABB4" w14:textId="77777777" w:rsidR="001B0FBC" w:rsidRPr="00627DA0" w:rsidRDefault="001B0FBC" w:rsidP="001B0FBC">
            <w:pPr>
              <w:pStyle w:val="TableContent"/>
              <w:rPr>
                <w:b/>
                <w:bCs/>
                <w:szCs w:val="20"/>
              </w:rPr>
            </w:pPr>
            <w:r w:rsidRPr="00627DA0">
              <w:rPr>
                <w:rFonts w:cs="Calibri"/>
                <w:szCs w:val="20"/>
              </w:rPr>
              <w:t xml:space="preserve">   Dishwasher</w:t>
            </w:r>
          </w:p>
        </w:tc>
        <w:tc>
          <w:tcPr>
            <w:tcW w:w="889" w:type="pct"/>
            <w:shd w:val="clear" w:color="auto" w:fill="F2F2F2" w:themeFill="background1" w:themeFillShade="F2"/>
          </w:tcPr>
          <w:p w14:paraId="7A27F347" w14:textId="0D859297" w:rsidR="001B0FBC" w:rsidRPr="00627DA0" w:rsidRDefault="001B0FBC" w:rsidP="001B0FBC">
            <w:pPr>
              <w:pStyle w:val="TableContent"/>
              <w:jc w:val="right"/>
              <w:rPr>
                <w:rFonts w:asciiTheme="minorHAnsi" w:hAnsiTheme="minorHAnsi"/>
                <w:b/>
                <w:bCs/>
                <w:szCs w:val="20"/>
              </w:rPr>
            </w:pPr>
            <w:r w:rsidRPr="00627DA0">
              <w:t>97%</w:t>
            </w:r>
          </w:p>
        </w:tc>
        <w:tc>
          <w:tcPr>
            <w:tcW w:w="889" w:type="pct"/>
            <w:shd w:val="clear" w:color="auto" w:fill="F2F2F2" w:themeFill="background1" w:themeFillShade="F2"/>
          </w:tcPr>
          <w:p w14:paraId="69ACD14B" w14:textId="611311E4" w:rsidR="001B0FBC" w:rsidRPr="00627DA0" w:rsidRDefault="001B0FBC" w:rsidP="001B0FBC">
            <w:pPr>
              <w:pStyle w:val="TableContent"/>
              <w:jc w:val="right"/>
              <w:rPr>
                <w:rFonts w:asciiTheme="minorHAnsi" w:hAnsiTheme="minorHAnsi" w:cs="Calibri"/>
                <w:b/>
                <w:bCs/>
                <w:szCs w:val="20"/>
              </w:rPr>
            </w:pPr>
            <w:r w:rsidRPr="00627DA0">
              <w:t>78%</w:t>
            </w:r>
          </w:p>
        </w:tc>
        <w:tc>
          <w:tcPr>
            <w:tcW w:w="888" w:type="pct"/>
            <w:shd w:val="clear" w:color="auto" w:fill="F2F2F2" w:themeFill="background1" w:themeFillShade="F2"/>
          </w:tcPr>
          <w:p w14:paraId="25E616AB" w14:textId="717D7199" w:rsidR="001B0FBC" w:rsidRPr="00627DA0" w:rsidRDefault="001B0FBC" w:rsidP="001B0FBC">
            <w:pPr>
              <w:pStyle w:val="TableContent"/>
              <w:jc w:val="right"/>
              <w:rPr>
                <w:rFonts w:asciiTheme="minorHAnsi" w:hAnsiTheme="minorHAnsi"/>
                <w:color w:val="000000"/>
                <w:szCs w:val="20"/>
              </w:rPr>
            </w:pPr>
            <w:r w:rsidRPr="00627DA0">
              <w:t>78%</w:t>
            </w:r>
          </w:p>
        </w:tc>
        <w:tc>
          <w:tcPr>
            <w:tcW w:w="886" w:type="pct"/>
            <w:shd w:val="clear" w:color="auto" w:fill="F2F2F2" w:themeFill="background1" w:themeFillShade="F2"/>
          </w:tcPr>
          <w:p w14:paraId="07007198" w14:textId="537EC0B2" w:rsidR="001B0FBC" w:rsidRPr="00627DA0" w:rsidRDefault="001B0FBC" w:rsidP="001B0FBC">
            <w:pPr>
              <w:pStyle w:val="TableContent"/>
              <w:jc w:val="right"/>
              <w:rPr>
                <w:rFonts w:asciiTheme="minorHAnsi" w:hAnsiTheme="minorHAnsi" w:cs="Calibri"/>
                <w:b/>
                <w:bCs/>
                <w:szCs w:val="20"/>
              </w:rPr>
            </w:pPr>
            <w:r w:rsidRPr="00627DA0">
              <w:t>83%</w:t>
            </w:r>
          </w:p>
        </w:tc>
      </w:tr>
      <w:tr w:rsidR="001B0FBC" w:rsidRPr="00627DA0" w14:paraId="06CA8420" w14:textId="77777777" w:rsidTr="002B151F">
        <w:trPr>
          <w:trHeight w:val="200"/>
        </w:trPr>
        <w:tc>
          <w:tcPr>
            <w:tcW w:w="1448" w:type="pct"/>
            <w:vAlign w:val="center"/>
          </w:tcPr>
          <w:p w14:paraId="5EEC3250" w14:textId="77777777" w:rsidR="001B0FBC" w:rsidRPr="00627DA0" w:rsidRDefault="001B0FBC" w:rsidP="001B0FBC">
            <w:pPr>
              <w:pStyle w:val="TableContent"/>
              <w:rPr>
                <w:b/>
                <w:bCs/>
                <w:szCs w:val="20"/>
              </w:rPr>
            </w:pPr>
            <w:r w:rsidRPr="00627DA0">
              <w:rPr>
                <w:rFonts w:cs="Calibri"/>
                <w:szCs w:val="20"/>
              </w:rPr>
              <w:t xml:space="preserve">   Electric Oven</w:t>
            </w:r>
          </w:p>
        </w:tc>
        <w:tc>
          <w:tcPr>
            <w:tcW w:w="889" w:type="pct"/>
          </w:tcPr>
          <w:p w14:paraId="2653222C" w14:textId="3B3F7688" w:rsidR="001B0FBC" w:rsidRPr="00627DA0" w:rsidRDefault="001B0FBC" w:rsidP="001B0FBC">
            <w:pPr>
              <w:pStyle w:val="TableContent"/>
              <w:jc w:val="right"/>
              <w:rPr>
                <w:rFonts w:asciiTheme="minorHAnsi" w:hAnsiTheme="minorHAnsi"/>
                <w:b/>
                <w:bCs/>
                <w:szCs w:val="20"/>
              </w:rPr>
            </w:pPr>
            <w:r w:rsidRPr="00627DA0">
              <w:t>72%</w:t>
            </w:r>
          </w:p>
        </w:tc>
        <w:tc>
          <w:tcPr>
            <w:tcW w:w="889" w:type="pct"/>
          </w:tcPr>
          <w:p w14:paraId="5E52B62B" w14:textId="4E3E1329" w:rsidR="001B0FBC" w:rsidRPr="00627DA0" w:rsidRDefault="001B0FBC" w:rsidP="001B0FBC">
            <w:pPr>
              <w:pStyle w:val="TableContent"/>
              <w:jc w:val="right"/>
              <w:rPr>
                <w:rFonts w:asciiTheme="minorHAnsi" w:hAnsiTheme="minorHAnsi" w:cs="Calibri"/>
                <w:b/>
                <w:bCs/>
                <w:szCs w:val="20"/>
              </w:rPr>
            </w:pPr>
            <w:r w:rsidRPr="00627DA0">
              <w:t>97%</w:t>
            </w:r>
          </w:p>
        </w:tc>
        <w:tc>
          <w:tcPr>
            <w:tcW w:w="888" w:type="pct"/>
          </w:tcPr>
          <w:p w14:paraId="262374B4" w14:textId="347598BA" w:rsidR="001B0FBC" w:rsidRPr="00627DA0" w:rsidRDefault="001B0FBC" w:rsidP="001B0FBC">
            <w:pPr>
              <w:pStyle w:val="TableContent"/>
              <w:jc w:val="right"/>
              <w:rPr>
                <w:rFonts w:asciiTheme="minorHAnsi" w:hAnsiTheme="minorHAnsi"/>
                <w:color w:val="000000"/>
                <w:szCs w:val="20"/>
              </w:rPr>
            </w:pPr>
            <w:r w:rsidRPr="00627DA0">
              <w:t>97%</w:t>
            </w:r>
          </w:p>
        </w:tc>
        <w:tc>
          <w:tcPr>
            <w:tcW w:w="886" w:type="pct"/>
          </w:tcPr>
          <w:p w14:paraId="3940D224" w14:textId="6B1B7B25" w:rsidR="001B0FBC" w:rsidRPr="00627DA0" w:rsidRDefault="001B0FBC" w:rsidP="001B0FBC">
            <w:pPr>
              <w:pStyle w:val="TableContent"/>
              <w:jc w:val="right"/>
              <w:rPr>
                <w:rFonts w:asciiTheme="minorHAnsi" w:hAnsiTheme="minorHAnsi" w:cs="Calibri"/>
                <w:b/>
                <w:bCs/>
                <w:szCs w:val="20"/>
              </w:rPr>
            </w:pPr>
            <w:r w:rsidRPr="00627DA0">
              <w:t>89%</w:t>
            </w:r>
          </w:p>
        </w:tc>
      </w:tr>
      <w:tr w:rsidR="001B0FBC" w:rsidRPr="00627DA0" w14:paraId="05C04D50" w14:textId="77777777" w:rsidTr="002B151F">
        <w:trPr>
          <w:trHeight w:val="200"/>
        </w:trPr>
        <w:tc>
          <w:tcPr>
            <w:tcW w:w="1448" w:type="pct"/>
            <w:shd w:val="clear" w:color="auto" w:fill="F2F2F2" w:themeFill="background1" w:themeFillShade="F2"/>
            <w:vAlign w:val="center"/>
          </w:tcPr>
          <w:p w14:paraId="223B7952" w14:textId="77777777" w:rsidR="001B0FBC" w:rsidRPr="00627DA0" w:rsidRDefault="001B0FBC" w:rsidP="001B0FBC">
            <w:pPr>
              <w:pStyle w:val="TableContent"/>
              <w:rPr>
                <w:b/>
                <w:bCs/>
                <w:szCs w:val="20"/>
              </w:rPr>
            </w:pPr>
            <w:r w:rsidRPr="00627DA0">
              <w:rPr>
                <w:rFonts w:cs="Calibri"/>
                <w:szCs w:val="20"/>
              </w:rPr>
              <w:t xml:space="preserve">   Desktop</w:t>
            </w:r>
          </w:p>
        </w:tc>
        <w:tc>
          <w:tcPr>
            <w:tcW w:w="889" w:type="pct"/>
            <w:shd w:val="clear" w:color="auto" w:fill="F2F2F2" w:themeFill="background1" w:themeFillShade="F2"/>
          </w:tcPr>
          <w:p w14:paraId="5EAA1362" w14:textId="5800A808" w:rsidR="001B0FBC" w:rsidRPr="00627DA0" w:rsidRDefault="001B0FBC" w:rsidP="001B0FBC">
            <w:pPr>
              <w:pStyle w:val="TableContent"/>
              <w:jc w:val="right"/>
              <w:rPr>
                <w:rFonts w:asciiTheme="minorHAnsi" w:hAnsiTheme="minorHAnsi"/>
                <w:b/>
                <w:bCs/>
                <w:szCs w:val="20"/>
              </w:rPr>
            </w:pPr>
            <w:r w:rsidRPr="00627DA0">
              <w:t>66%</w:t>
            </w:r>
          </w:p>
        </w:tc>
        <w:tc>
          <w:tcPr>
            <w:tcW w:w="889" w:type="pct"/>
            <w:shd w:val="clear" w:color="auto" w:fill="F2F2F2" w:themeFill="background1" w:themeFillShade="F2"/>
          </w:tcPr>
          <w:p w14:paraId="3DB67337" w14:textId="75FBA27D" w:rsidR="001B0FBC" w:rsidRPr="00627DA0" w:rsidRDefault="001B0FBC" w:rsidP="001B0FBC">
            <w:pPr>
              <w:pStyle w:val="TableContent"/>
              <w:jc w:val="right"/>
              <w:rPr>
                <w:rFonts w:asciiTheme="minorHAnsi" w:hAnsiTheme="minorHAnsi" w:cs="Calibri"/>
                <w:b/>
                <w:bCs/>
                <w:szCs w:val="20"/>
              </w:rPr>
            </w:pPr>
            <w:r w:rsidRPr="00627DA0">
              <w:t>21%</w:t>
            </w:r>
          </w:p>
        </w:tc>
        <w:tc>
          <w:tcPr>
            <w:tcW w:w="888" w:type="pct"/>
            <w:shd w:val="clear" w:color="auto" w:fill="F2F2F2" w:themeFill="background1" w:themeFillShade="F2"/>
          </w:tcPr>
          <w:p w14:paraId="1B6ECBF1" w14:textId="72855A9C" w:rsidR="001B0FBC" w:rsidRPr="00627DA0" w:rsidRDefault="001B0FBC" w:rsidP="001B0FBC">
            <w:pPr>
              <w:pStyle w:val="TableContent"/>
              <w:jc w:val="right"/>
              <w:rPr>
                <w:rFonts w:asciiTheme="minorHAnsi" w:hAnsiTheme="minorHAnsi"/>
                <w:color w:val="000000"/>
                <w:szCs w:val="20"/>
              </w:rPr>
            </w:pPr>
            <w:r w:rsidRPr="00627DA0">
              <w:t>19%</w:t>
            </w:r>
          </w:p>
        </w:tc>
        <w:tc>
          <w:tcPr>
            <w:tcW w:w="886" w:type="pct"/>
            <w:shd w:val="clear" w:color="auto" w:fill="F2F2F2" w:themeFill="background1" w:themeFillShade="F2"/>
          </w:tcPr>
          <w:p w14:paraId="0492908E" w14:textId="604C9E65" w:rsidR="001B0FBC" w:rsidRPr="00627DA0" w:rsidRDefault="001B0FBC" w:rsidP="001B0FBC">
            <w:pPr>
              <w:pStyle w:val="TableContent"/>
              <w:jc w:val="right"/>
              <w:rPr>
                <w:rFonts w:asciiTheme="minorHAnsi" w:hAnsiTheme="minorHAnsi" w:cs="Calibri"/>
                <w:b/>
                <w:bCs/>
                <w:szCs w:val="20"/>
              </w:rPr>
            </w:pPr>
            <w:r w:rsidRPr="00627DA0">
              <w:t>31%</w:t>
            </w:r>
          </w:p>
        </w:tc>
      </w:tr>
      <w:tr w:rsidR="001B0FBC" w:rsidRPr="00627DA0" w14:paraId="2455E172" w14:textId="77777777" w:rsidTr="002B151F">
        <w:trPr>
          <w:trHeight w:val="200"/>
        </w:trPr>
        <w:tc>
          <w:tcPr>
            <w:tcW w:w="1448" w:type="pct"/>
            <w:tcBorders>
              <w:bottom w:val="nil"/>
            </w:tcBorders>
            <w:vAlign w:val="center"/>
          </w:tcPr>
          <w:p w14:paraId="3D62B29B" w14:textId="77777777" w:rsidR="001B0FBC" w:rsidRPr="00627DA0" w:rsidRDefault="001B0FBC" w:rsidP="001B0FBC">
            <w:pPr>
              <w:pStyle w:val="TableContent"/>
              <w:rPr>
                <w:b/>
                <w:bCs/>
                <w:szCs w:val="20"/>
              </w:rPr>
            </w:pPr>
            <w:r w:rsidRPr="00627DA0">
              <w:rPr>
                <w:rFonts w:cs="Calibri"/>
                <w:szCs w:val="20"/>
              </w:rPr>
              <w:t xml:space="preserve">   Laptop</w:t>
            </w:r>
          </w:p>
        </w:tc>
        <w:tc>
          <w:tcPr>
            <w:tcW w:w="889" w:type="pct"/>
            <w:tcBorders>
              <w:bottom w:val="nil"/>
            </w:tcBorders>
          </w:tcPr>
          <w:p w14:paraId="0E6AB529" w14:textId="2E2DCE41" w:rsidR="001B0FBC" w:rsidRPr="00627DA0" w:rsidRDefault="001B0FBC" w:rsidP="001B0FBC">
            <w:pPr>
              <w:pStyle w:val="TableContent"/>
              <w:jc w:val="right"/>
              <w:rPr>
                <w:rFonts w:asciiTheme="minorHAnsi" w:hAnsiTheme="minorHAnsi"/>
                <w:b/>
                <w:bCs/>
                <w:szCs w:val="20"/>
              </w:rPr>
            </w:pPr>
            <w:r w:rsidRPr="00627DA0">
              <w:t>83%</w:t>
            </w:r>
          </w:p>
        </w:tc>
        <w:tc>
          <w:tcPr>
            <w:tcW w:w="889" w:type="pct"/>
            <w:tcBorders>
              <w:bottom w:val="nil"/>
            </w:tcBorders>
          </w:tcPr>
          <w:p w14:paraId="2EB498FF" w14:textId="0FCFE394" w:rsidR="001B0FBC" w:rsidRPr="00627DA0" w:rsidRDefault="001B0FBC" w:rsidP="001B0FBC">
            <w:pPr>
              <w:pStyle w:val="TableContent"/>
              <w:jc w:val="right"/>
              <w:rPr>
                <w:rFonts w:asciiTheme="minorHAnsi" w:hAnsiTheme="minorHAnsi" w:cs="Calibri"/>
                <w:b/>
                <w:bCs/>
                <w:szCs w:val="20"/>
              </w:rPr>
            </w:pPr>
            <w:r w:rsidRPr="00627DA0">
              <w:t>75%</w:t>
            </w:r>
          </w:p>
        </w:tc>
        <w:tc>
          <w:tcPr>
            <w:tcW w:w="888" w:type="pct"/>
            <w:tcBorders>
              <w:bottom w:val="nil"/>
            </w:tcBorders>
          </w:tcPr>
          <w:p w14:paraId="615E43D4" w14:textId="655CDB2D" w:rsidR="001B0FBC" w:rsidRPr="00627DA0" w:rsidRDefault="001B0FBC" w:rsidP="001B0FBC">
            <w:pPr>
              <w:pStyle w:val="TableContent"/>
              <w:jc w:val="right"/>
              <w:rPr>
                <w:rFonts w:asciiTheme="minorHAnsi" w:hAnsiTheme="minorHAnsi"/>
                <w:color w:val="000000"/>
                <w:szCs w:val="20"/>
              </w:rPr>
            </w:pPr>
            <w:r w:rsidRPr="00627DA0">
              <w:t>70%</w:t>
            </w:r>
          </w:p>
        </w:tc>
        <w:tc>
          <w:tcPr>
            <w:tcW w:w="886" w:type="pct"/>
            <w:tcBorders>
              <w:bottom w:val="nil"/>
            </w:tcBorders>
          </w:tcPr>
          <w:p w14:paraId="785D0A02" w14:textId="66E279DC" w:rsidR="001B0FBC" w:rsidRPr="00627DA0" w:rsidRDefault="001B0FBC" w:rsidP="001B0FBC">
            <w:pPr>
              <w:pStyle w:val="TableContent"/>
              <w:jc w:val="right"/>
              <w:rPr>
                <w:rFonts w:asciiTheme="minorHAnsi" w:hAnsiTheme="minorHAnsi" w:cs="Calibri"/>
                <w:b/>
                <w:bCs/>
                <w:szCs w:val="20"/>
              </w:rPr>
            </w:pPr>
            <w:r w:rsidRPr="00627DA0">
              <w:t>66%</w:t>
            </w:r>
          </w:p>
        </w:tc>
      </w:tr>
      <w:tr w:rsidR="001B0FBC" w:rsidRPr="00627DA0" w14:paraId="11CDE498" w14:textId="77777777" w:rsidTr="002B151F">
        <w:trPr>
          <w:trHeight w:val="200"/>
        </w:trPr>
        <w:tc>
          <w:tcPr>
            <w:tcW w:w="1448" w:type="pct"/>
            <w:tcBorders>
              <w:top w:val="nil"/>
              <w:bottom w:val="single" w:sz="12" w:space="0" w:color="auto"/>
            </w:tcBorders>
            <w:shd w:val="clear" w:color="auto" w:fill="F2F2F2" w:themeFill="background1" w:themeFillShade="F2"/>
            <w:vAlign w:val="center"/>
          </w:tcPr>
          <w:p w14:paraId="0DB6897D" w14:textId="77777777" w:rsidR="001B0FBC" w:rsidRPr="00627DA0" w:rsidRDefault="001B0FBC" w:rsidP="001B0FBC">
            <w:pPr>
              <w:pStyle w:val="TableContent"/>
              <w:rPr>
                <w:rFonts w:cs="Calibri"/>
                <w:szCs w:val="20"/>
              </w:rPr>
            </w:pPr>
            <w:r w:rsidRPr="00627DA0">
              <w:rPr>
                <w:rFonts w:cs="Calibri"/>
                <w:szCs w:val="20"/>
              </w:rPr>
              <w:t xml:space="preserve">   Monitor</w:t>
            </w:r>
          </w:p>
        </w:tc>
        <w:tc>
          <w:tcPr>
            <w:tcW w:w="889" w:type="pct"/>
            <w:tcBorders>
              <w:top w:val="nil"/>
              <w:bottom w:val="single" w:sz="12" w:space="0" w:color="auto"/>
            </w:tcBorders>
            <w:shd w:val="clear" w:color="auto" w:fill="F2F2F2" w:themeFill="background1" w:themeFillShade="F2"/>
          </w:tcPr>
          <w:p w14:paraId="2EC5474B" w14:textId="0D5F1175" w:rsidR="001B0FBC" w:rsidRPr="00627DA0" w:rsidRDefault="001B0FBC" w:rsidP="001B0FBC">
            <w:pPr>
              <w:pStyle w:val="TableContent"/>
              <w:jc w:val="right"/>
              <w:rPr>
                <w:rFonts w:asciiTheme="minorHAnsi" w:hAnsiTheme="minorHAnsi" w:cs="Calibri"/>
                <w:szCs w:val="20"/>
              </w:rPr>
            </w:pPr>
            <w:r w:rsidRPr="00627DA0">
              <w:t>120%</w:t>
            </w:r>
          </w:p>
        </w:tc>
        <w:tc>
          <w:tcPr>
            <w:tcW w:w="889" w:type="pct"/>
            <w:tcBorders>
              <w:top w:val="nil"/>
              <w:bottom w:val="single" w:sz="12" w:space="0" w:color="auto"/>
            </w:tcBorders>
            <w:shd w:val="clear" w:color="auto" w:fill="F2F2F2" w:themeFill="background1" w:themeFillShade="F2"/>
          </w:tcPr>
          <w:p w14:paraId="614CDBA4" w14:textId="534612A5" w:rsidR="001B0FBC" w:rsidRPr="00627DA0" w:rsidRDefault="001B0FBC" w:rsidP="001B0FBC">
            <w:pPr>
              <w:pStyle w:val="TableContent"/>
              <w:jc w:val="right"/>
              <w:rPr>
                <w:rFonts w:asciiTheme="minorHAnsi" w:hAnsiTheme="minorHAnsi" w:cs="Calibri"/>
                <w:szCs w:val="20"/>
              </w:rPr>
            </w:pPr>
            <w:r w:rsidRPr="00627DA0">
              <w:t>50%</w:t>
            </w:r>
          </w:p>
        </w:tc>
        <w:tc>
          <w:tcPr>
            <w:tcW w:w="888" w:type="pct"/>
            <w:tcBorders>
              <w:top w:val="nil"/>
              <w:bottom w:val="single" w:sz="12" w:space="0" w:color="auto"/>
            </w:tcBorders>
            <w:shd w:val="clear" w:color="auto" w:fill="F2F2F2" w:themeFill="background1" w:themeFillShade="F2"/>
          </w:tcPr>
          <w:p w14:paraId="5C9302C9" w14:textId="166D1948" w:rsidR="001B0FBC" w:rsidRPr="00627DA0" w:rsidRDefault="001B0FBC" w:rsidP="001B0FBC">
            <w:pPr>
              <w:pStyle w:val="TableContent"/>
              <w:jc w:val="right"/>
              <w:rPr>
                <w:rFonts w:asciiTheme="minorHAnsi" w:hAnsiTheme="minorHAnsi" w:cs="Arial"/>
                <w:color w:val="000000"/>
                <w:szCs w:val="20"/>
              </w:rPr>
            </w:pPr>
            <w:r w:rsidRPr="00627DA0">
              <w:t>52%</w:t>
            </w:r>
          </w:p>
        </w:tc>
        <w:tc>
          <w:tcPr>
            <w:tcW w:w="886" w:type="pct"/>
            <w:tcBorders>
              <w:top w:val="nil"/>
              <w:bottom w:val="single" w:sz="12" w:space="0" w:color="auto"/>
            </w:tcBorders>
            <w:shd w:val="clear" w:color="auto" w:fill="F2F2F2" w:themeFill="background1" w:themeFillShade="F2"/>
          </w:tcPr>
          <w:p w14:paraId="0EDEBB8E" w14:textId="3CF1A72E" w:rsidR="001B0FBC" w:rsidRPr="00627DA0" w:rsidRDefault="001B0FBC" w:rsidP="001B0FBC">
            <w:pPr>
              <w:pStyle w:val="TableContent"/>
              <w:jc w:val="right"/>
              <w:rPr>
                <w:rFonts w:asciiTheme="minorHAnsi" w:hAnsiTheme="minorHAnsi" w:cs="Calibri"/>
                <w:szCs w:val="20"/>
              </w:rPr>
            </w:pPr>
            <w:r w:rsidRPr="00627DA0">
              <w:t>34%</w:t>
            </w:r>
          </w:p>
        </w:tc>
      </w:tr>
    </w:tbl>
    <w:p w14:paraId="0DF7CD52" w14:textId="77777777" w:rsidR="003E3E86" w:rsidRPr="00627DA0" w:rsidRDefault="003E3E86" w:rsidP="003E3E86"/>
    <w:p w14:paraId="2176E93D" w14:textId="5E43AEAF" w:rsidR="00F14768" w:rsidRPr="00627DA0" w:rsidRDefault="00F14768" w:rsidP="00F14768">
      <w:r w:rsidRPr="00627DA0">
        <w:t xml:space="preserve">In </w:t>
      </w:r>
      <w:r w:rsidR="00F85AB0" w:rsidRPr="00627DA0">
        <w:t>these tables</w:t>
      </w:r>
      <w:r w:rsidRPr="00627DA0">
        <w:t>, numbers greater than 100% imply an average of more than one appliance per home. For example, the single family refrigerator saturation of 1</w:t>
      </w:r>
      <w:r w:rsidR="007B6E59" w:rsidRPr="00627DA0">
        <w:t>52</w:t>
      </w:r>
      <w:r w:rsidRPr="00627DA0">
        <w:t>% means that single family homes average 1.</w:t>
      </w:r>
      <w:r w:rsidR="007B6E59" w:rsidRPr="00627DA0">
        <w:t>52</w:t>
      </w:r>
      <w:r w:rsidRPr="00627DA0">
        <w:t xml:space="preserve"> refrigerators per home.</w:t>
      </w:r>
    </w:p>
    <w:p w14:paraId="69DE8E04" w14:textId="2FE53AF1" w:rsidR="00F14768" w:rsidRPr="00627DA0" w:rsidRDefault="00F14768" w:rsidP="00F14768">
      <w:r w:rsidRPr="00627DA0">
        <w:t xml:space="preserve">For this assessment, </w:t>
      </w:r>
      <w:r w:rsidR="00C30A82" w:rsidRPr="00627DA0">
        <w:t>the project team</w:t>
      </w:r>
      <w:r w:rsidRPr="00627DA0">
        <w:t xml:space="preserve"> used </w:t>
      </w:r>
      <w:r w:rsidR="003E2892" w:rsidRPr="00627DA0">
        <w:t>202</w:t>
      </w:r>
      <w:r w:rsidR="00E23902" w:rsidRPr="00627DA0">
        <w:t xml:space="preserve">0 survey data </w:t>
      </w:r>
      <w:r w:rsidR="003E2892" w:rsidRPr="00627DA0">
        <w:t>analy</w:t>
      </w:r>
      <w:r w:rsidR="00D96C24" w:rsidRPr="00627DA0">
        <w:t xml:space="preserve">sis conducted by Lighthouse for </w:t>
      </w:r>
      <w:r w:rsidR="0032364D" w:rsidRPr="00627DA0">
        <w:t>Inland Power</w:t>
      </w:r>
      <w:r w:rsidR="00D96C24" w:rsidRPr="00627DA0">
        <w:t xml:space="preserve"> in combination with </w:t>
      </w:r>
      <w:r w:rsidR="00020E2C" w:rsidRPr="00627DA0">
        <w:t xml:space="preserve">the latest information from </w:t>
      </w:r>
      <w:r w:rsidRPr="00627DA0">
        <w:t>NEEA’s 20</w:t>
      </w:r>
      <w:r w:rsidR="00D100A2" w:rsidRPr="00627DA0">
        <w:t>22</w:t>
      </w:r>
      <w:r w:rsidRPr="00627DA0">
        <w:t xml:space="preserve"> Residential Building Stock Assessment (RBSA)</w:t>
      </w:r>
      <w:r w:rsidR="00B93270" w:rsidRPr="00627DA0">
        <w:t xml:space="preserve">, </w:t>
      </w:r>
      <w:r w:rsidR="00C34C50" w:rsidRPr="00627DA0">
        <w:t>which was not available at the time the 2023 CPA was developed</w:t>
      </w:r>
      <w:r w:rsidRPr="00627DA0">
        <w:t xml:space="preserve">. </w:t>
      </w:r>
    </w:p>
    <w:p w14:paraId="53F5B67D" w14:textId="77777777" w:rsidR="00F14768" w:rsidRPr="00627DA0" w:rsidRDefault="00F14768" w:rsidP="00F14768">
      <w:pPr>
        <w:pStyle w:val="Heading2"/>
      </w:pPr>
      <w:bookmarkStart w:id="56" w:name="_Toc207870668"/>
      <w:r w:rsidRPr="00627DA0">
        <w:t>Commercial</w:t>
      </w:r>
      <w:bookmarkEnd w:id="56"/>
    </w:p>
    <w:p w14:paraId="1466B1D4" w14:textId="7E18681E" w:rsidR="00F14768" w:rsidRPr="00627DA0" w:rsidRDefault="00F14768" w:rsidP="00F14768">
      <w:r w:rsidRPr="00627DA0">
        <w:t xml:space="preserve">In the commercial sector, the building floor area is the primary variable in determining the number of conservation opportunities, as many of the commercial measures are quantified based on the applicable </w:t>
      </w:r>
      <w:r w:rsidR="007D0B64" w:rsidRPr="00627DA0">
        <w:t>amount</w:t>
      </w:r>
      <w:r w:rsidRPr="00627DA0">
        <w:t xml:space="preserve"> of floor area. To estimate the commercial floor area in </w:t>
      </w:r>
      <w:r w:rsidR="0032364D" w:rsidRPr="00627DA0">
        <w:t>Inland Power</w:t>
      </w:r>
      <w:r w:rsidRPr="00627DA0">
        <w:t xml:space="preserve">’s service territory, </w:t>
      </w:r>
      <w:r w:rsidR="00C30A82" w:rsidRPr="00627DA0">
        <w:t>the project team</w:t>
      </w:r>
      <w:r w:rsidR="001B60D9" w:rsidRPr="00627DA0">
        <w:t xml:space="preserve"> mapped</w:t>
      </w:r>
      <w:r w:rsidR="00A24145" w:rsidRPr="00627DA0">
        <w:t xml:space="preserve"> </w:t>
      </w:r>
      <w:r w:rsidR="0032364D" w:rsidRPr="00627DA0">
        <w:t>Inland Power</w:t>
      </w:r>
      <w:r w:rsidR="00A24145" w:rsidRPr="00627DA0">
        <w:t xml:space="preserve">’s </w:t>
      </w:r>
      <w:r w:rsidR="00836475" w:rsidRPr="00627DA0">
        <w:t xml:space="preserve">2024 </w:t>
      </w:r>
      <w:r w:rsidR="00264535" w:rsidRPr="00627DA0">
        <w:t xml:space="preserve">non-residential </w:t>
      </w:r>
      <w:r w:rsidR="00411287" w:rsidRPr="00627DA0">
        <w:t xml:space="preserve">customer account sales to commercial and industrial building types. </w:t>
      </w:r>
      <w:r w:rsidR="00B739BA" w:rsidRPr="00627DA0">
        <w:t xml:space="preserve">The project team then </w:t>
      </w:r>
      <w:r w:rsidR="00BB5E10" w:rsidRPr="00627DA0">
        <w:t>converted the</w:t>
      </w:r>
      <w:r w:rsidR="00BA713B" w:rsidRPr="00627DA0">
        <w:t xml:space="preserve"> </w:t>
      </w:r>
      <w:r w:rsidR="002C1F61" w:rsidRPr="00627DA0">
        <w:t xml:space="preserve">commercial </w:t>
      </w:r>
      <w:r w:rsidR="00BA713B" w:rsidRPr="00627DA0">
        <w:t xml:space="preserve">sales </w:t>
      </w:r>
      <w:r w:rsidR="00BB5E10" w:rsidRPr="00627DA0">
        <w:t>to estimates of floor area using average energy use intensities from the 2019 Commercial Building Stock Assessment.</w:t>
      </w:r>
      <w:r w:rsidRPr="00627DA0">
        <w:t xml:space="preserve"> </w:t>
      </w:r>
    </w:p>
    <w:p w14:paraId="42C0D261" w14:textId="59971854" w:rsidR="00F14768" w:rsidRPr="00627DA0" w:rsidRDefault="00F14768" w:rsidP="00F14768">
      <w:r w:rsidRPr="00627DA0">
        <w:fldChar w:fldCharType="begin"/>
      </w:r>
      <w:r w:rsidRPr="00627DA0">
        <w:instrText xml:space="preserve"> REF _Ref48644493 \h </w:instrText>
      </w:r>
      <w:r w:rsidRPr="00627DA0">
        <w:fldChar w:fldCharType="separate"/>
      </w:r>
      <w:r w:rsidR="00431297" w:rsidRPr="00627DA0">
        <w:t>Table 7</w:t>
      </w:r>
      <w:r w:rsidRPr="00627DA0">
        <w:fldChar w:fldCharType="end"/>
      </w:r>
      <w:r w:rsidRPr="00627DA0">
        <w:t xml:space="preserve"> summarizes the resulting floor area estimates for each of the 18 commercial building segments. </w:t>
      </w:r>
      <w:r w:rsidR="00893628" w:rsidRPr="00627DA0">
        <w:t>T</w:t>
      </w:r>
      <w:r w:rsidRPr="00627DA0">
        <w:t xml:space="preserve">he total commercial floor area was estimated to be </w:t>
      </w:r>
      <w:r w:rsidR="00BD26A4" w:rsidRPr="00627DA0">
        <w:t>just below 20</w:t>
      </w:r>
      <w:r w:rsidRPr="00627DA0">
        <w:t xml:space="preserve"> million square feet, a </w:t>
      </w:r>
      <w:r w:rsidR="007F6B95" w:rsidRPr="00627DA0">
        <w:t>6</w:t>
      </w:r>
      <w:r w:rsidRPr="00627DA0">
        <w:t xml:space="preserve">% </w:t>
      </w:r>
      <w:r w:rsidR="007F6B95" w:rsidRPr="00627DA0">
        <w:t>increase</w:t>
      </w:r>
      <w:r w:rsidR="006E630E" w:rsidRPr="00627DA0">
        <w:t xml:space="preserve"> </w:t>
      </w:r>
      <w:r w:rsidRPr="00627DA0">
        <w:t>over the baseline floor area used in the 202</w:t>
      </w:r>
      <w:r w:rsidR="006E630E" w:rsidRPr="00627DA0">
        <w:t>3</w:t>
      </w:r>
      <w:r w:rsidRPr="00627DA0">
        <w:t xml:space="preserve"> CPA.</w:t>
      </w:r>
    </w:p>
    <w:p w14:paraId="7A53AE33" w14:textId="2F1379D3" w:rsidR="00F14768" w:rsidRPr="00627DA0" w:rsidRDefault="00F14768" w:rsidP="00F14768">
      <w:pPr>
        <w:pStyle w:val="Caption"/>
      </w:pPr>
      <w:bookmarkStart w:id="57" w:name="_Ref48644493"/>
      <w:bookmarkStart w:id="58" w:name="_Toc207870736"/>
      <w:r w:rsidRPr="00627DA0">
        <w:lastRenderedPageBreak/>
        <w:t xml:space="preserve">Table </w:t>
      </w:r>
      <w:fldSimple w:instr=" SEQ Table \* ARABIC ">
        <w:r w:rsidR="00431297" w:rsidRPr="00627DA0">
          <w:t>7</w:t>
        </w:r>
      </w:fldSimple>
      <w:bookmarkEnd w:id="57"/>
      <w:r w:rsidRPr="00627DA0">
        <w:t>: Commercial Floor Area by Segment</w:t>
      </w:r>
      <w:bookmarkEnd w:id="58"/>
    </w:p>
    <w:tbl>
      <w:tblPr>
        <w:tblStyle w:val="TableGrid"/>
        <w:tblW w:w="0" w:type="auto"/>
        <w:jc w:val="center"/>
        <w:tblBorders>
          <w:top w:val="single" w:sz="12" w:space="0" w:color="002C7C" w:themeColor="accent1"/>
          <w:left w:val="none" w:sz="0" w:space="0" w:color="auto"/>
          <w:bottom w:val="single" w:sz="12" w:space="0" w:color="002C7C" w:themeColor="accent1"/>
          <w:right w:val="none" w:sz="0" w:space="0" w:color="auto"/>
          <w:insideH w:val="none" w:sz="0" w:space="0" w:color="auto"/>
          <w:insideV w:val="none" w:sz="0" w:space="0" w:color="auto"/>
        </w:tblBorders>
        <w:tblLook w:val="04A0" w:firstRow="1" w:lastRow="0" w:firstColumn="1" w:lastColumn="0" w:noHBand="0" w:noVBand="1"/>
      </w:tblPr>
      <w:tblGrid>
        <w:gridCol w:w="2151"/>
        <w:gridCol w:w="2151"/>
      </w:tblGrid>
      <w:tr w:rsidR="00F14768" w:rsidRPr="00627DA0" w14:paraId="61FECFFA" w14:textId="77777777" w:rsidTr="00D00767">
        <w:trPr>
          <w:trHeight w:val="196"/>
          <w:jc w:val="center"/>
        </w:trPr>
        <w:tc>
          <w:tcPr>
            <w:tcW w:w="2151" w:type="dxa"/>
            <w:tcBorders>
              <w:top w:val="single" w:sz="12" w:space="0" w:color="auto"/>
              <w:bottom w:val="single" w:sz="12" w:space="0" w:color="auto"/>
            </w:tcBorders>
            <w:shd w:val="clear" w:color="auto" w:fill="00205C" w:themeFill="accent1" w:themeFillShade="BF"/>
            <w:vAlign w:val="bottom"/>
          </w:tcPr>
          <w:p w14:paraId="774EC7FF" w14:textId="77777777" w:rsidR="00F14768" w:rsidRPr="00627DA0" w:rsidRDefault="00F14768" w:rsidP="00D00767">
            <w:pPr>
              <w:pStyle w:val="Caption"/>
              <w:keepNext w:val="0"/>
              <w:spacing w:after="0"/>
              <w:jc w:val="left"/>
              <w:rPr>
                <w:color w:val="FFFFFF" w:themeColor="background1"/>
                <w:szCs w:val="20"/>
              </w:rPr>
            </w:pPr>
            <w:r w:rsidRPr="00627DA0">
              <w:rPr>
                <w:color w:val="FFFFFF" w:themeColor="background1"/>
                <w:szCs w:val="20"/>
              </w:rPr>
              <w:t>Building Type</w:t>
            </w:r>
          </w:p>
        </w:tc>
        <w:tc>
          <w:tcPr>
            <w:tcW w:w="2151" w:type="dxa"/>
            <w:tcBorders>
              <w:top w:val="single" w:sz="12" w:space="0" w:color="auto"/>
              <w:bottom w:val="single" w:sz="12" w:space="0" w:color="auto"/>
            </w:tcBorders>
            <w:shd w:val="clear" w:color="auto" w:fill="00205C" w:themeFill="accent1" w:themeFillShade="BF"/>
            <w:vAlign w:val="bottom"/>
          </w:tcPr>
          <w:p w14:paraId="245B6A04" w14:textId="37EF5F1E" w:rsidR="00F14768" w:rsidRPr="00627DA0" w:rsidRDefault="00F14768" w:rsidP="00D00767">
            <w:pPr>
              <w:pStyle w:val="Caption"/>
              <w:keepNext w:val="0"/>
              <w:spacing w:after="0"/>
              <w:jc w:val="right"/>
              <w:rPr>
                <w:color w:val="FFFFFF" w:themeColor="background1"/>
                <w:szCs w:val="20"/>
              </w:rPr>
            </w:pPr>
            <w:r w:rsidRPr="00627DA0">
              <w:rPr>
                <w:color w:val="FFFFFF" w:themeColor="background1"/>
                <w:szCs w:val="20"/>
              </w:rPr>
              <w:t>202</w:t>
            </w:r>
            <w:r w:rsidR="005912CA" w:rsidRPr="00627DA0">
              <w:rPr>
                <w:color w:val="FFFFFF" w:themeColor="background1"/>
                <w:szCs w:val="20"/>
              </w:rPr>
              <w:t>4</w:t>
            </w:r>
            <w:r w:rsidRPr="00627DA0">
              <w:rPr>
                <w:color w:val="FFFFFF" w:themeColor="background1"/>
                <w:szCs w:val="20"/>
              </w:rPr>
              <w:t xml:space="preserve"> Floor Area (square feet)</w:t>
            </w:r>
          </w:p>
        </w:tc>
      </w:tr>
      <w:tr w:rsidR="001B0FBC" w:rsidRPr="00627DA0" w14:paraId="36279917" w14:textId="77777777" w:rsidTr="00132D93">
        <w:trPr>
          <w:trHeight w:val="261"/>
          <w:jc w:val="center"/>
        </w:trPr>
        <w:tc>
          <w:tcPr>
            <w:tcW w:w="2151" w:type="dxa"/>
            <w:tcBorders>
              <w:top w:val="single" w:sz="12" w:space="0" w:color="auto"/>
            </w:tcBorders>
            <w:shd w:val="clear" w:color="auto" w:fill="F2F2F2" w:themeFill="background1" w:themeFillShade="F2"/>
            <w:vAlign w:val="center"/>
          </w:tcPr>
          <w:p w14:paraId="077D9053"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Large Office </w:t>
            </w:r>
          </w:p>
        </w:tc>
        <w:tc>
          <w:tcPr>
            <w:tcW w:w="2151" w:type="dxa"/>
            <w:tcBorders>
              <w:top w:val="single" w:sz="12" w:space="0" w:color="auto"/>
            </w:tcBorders>
            <w:shd w:val="clear" w:color="auto" w:fill="F2F2F2" w:themeFill="background1" w:themeFillShade="F2"/>
          </w:tcPr>
          <w:p w14:paraId="77168635" w14:textId="6FE93FA7"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660,733 </w:t>
            </w:r>
          </w:p>
        </w:tc>
      </w:tr>
      <w:tr w:rsidR="001B0FBC" w:rsidRPr="00627DA0" w14:paraId="072BF36F" w14:textId="77777777" w:rsidTr="00132D93">
        <w:trPr>
          <w:trHeight w:val="261"/>
          <w:jc w:val="center"/>
        </w:trPr>
        <w:tc>
          <w:tcPr>
            <w:tcW w:w="2151" w:type="dxa"/>
            <w:vAlign w:val="center"/>
          </w:tcPr>
          <w:p w14:paraId="2828C852"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Medium Office </w:t>
            </w:r>
          </w:p>
        </w:tc>
        <w:tc>
          <w:tcPr>
            <w:tcW w:w="2151" w:type="dxa"/>
          </w:tcPr>
          <w:p w14:paraId="3F99B7C6" w14:textId="2DECD42E"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217,478 </w:t>
            </w:r>
          </w:p>
        </w:tc>
      </w:tr>
      <w:tr w:rsidR="001B0FBC" w:rsidRPr="00627DA0" w14:paraId="6DF2635A" w14:textId="77777777" w:rsidTr="00132D93">
        <w:trPr>
          <w:trHeight w:val="261"/>
          <w:jc w:val="center"/>
        </w:trPr>
        <w:tc>
          <w:tcPr>
            <w:tcW w:w="2151" w:type="dxa"/>
            <w:shd w:val="clear" w:color="auto" w:fill="F2F2F2" w:themeFill="background1" w:themeFillShade="F2"/>
            <w:vAlign w:val="center"/>
          </w:tcPr>
          <w:p w14:paraId="3C26AE42"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Small Office</w:t>
            </w:r>
          </w:p>
        </w:tc>
        <w:tc>
          <w:tcPr>
            <w:tcW w:w="2151" w:type="dxa"/>
            <w:shd w:val="clear" w:color="auto" w:fill="F2F2F2" w:themeFill="background1" w:themeFillShade="F2"/>
          </w:tcPr>
          <w:p w14:paraId="32F7F803" w14:textId="6F3B37F5"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198,824 </w:t>
            </w:r>
          </w:p>
        </w:tc>
      </w:tr>
      <w:tr w:rsidR="001B0FBC" w:rsidRPr="00627DA0" w14:paraId="6DAD6FDC" w14:textId="77777777" w:rsidTr="00132D93">
        <w:trPr>
          <w:trHeight w:val="261"/>
          <w:jc w:val="center"/>
        </w:trPr>
        <w:tc>
          <w:tcPr>
            <w:tcW w:w="2151" w:type="dxa"/>
            <w:vAlign w:val="center"/>
          </w:tcPr>
          <w:p w14:paraId="06DA72DA"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Extra Large Retail </w:t>
            </w:r>
          </w:p>
        </w:tc>
        <w:tc>
          <w:tcPr>
            <w:tcW w:w="2151" w:type="dxa"/>
          </w:tcPr>
          <w:p w14:paraId="0574D21E" w14:textId="7208BCC7"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957,101 </w:t>
            </w:r>
          </w:p>
        </w:tc>
      </w:tr>
      <w:tr w:rsidR="001B0FBC" w:rsidRPr="00627DA0" w14:paraId="6016377B" w14:textId="77777777" w:rsidTr="00132D93">
        <w:trPr>
          <w:trHeight w:val="250"/>
          <w:jc w:val="center"/>
        </w:trPr>
        <w:tc>
          <w:tcPr>
            <w:tcW w:w="2151" w:type="dxa"/>
            <w:shd w:val="clear" w:color="auto" w:fill="F2F2F2" w:themeFill="background1" w:themeFillShade="F2"/>
            <w:vAlign w:val="center"/>
          </w:tcPr>
          <w:p w14:paraId="31A93625"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Large Retail </w:t>
            </w:r>
          </w:p>
        </w:tc>
        <w:tc>
          <w:tcPr>
            <w:tcW w:w="2151" w:type="dxa"/>
            <w:shd w:val="clear" w:color="auto" w:fill="F2F2F2" w:themeFill="background1" w:themeFillShade="F2"/>
          </w:tcPr>
          <w:p w14:paraId="438F0095" w14:textId="10574FCB"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155,721 </w:t>
            </w:r>
          </w:p>
        </w:tc>
      </w:tr>
      <w:tr w:rsidR="001B0FBC" w:rsidRPr="00627DA0" w14:paraId="30C9AB32" w14:textId="77777777" w:rsidTr="00132D93">
        <w:trPr>
          <w:trHeight w:val="261"/>
          <w:jc w:val="center"/>
        </w:trPr>
        <w:tc>
          <w:tcPr>
            <w:tcW w:w="2151" w:type="dxa"/>
            <w:vAlign w:val="center"/>
          </w:tcPr>
          <w:p w14:paraId="4F5B6457"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Medium Retail </w:t>
            </w:r>
          </w:p>
        </w:tc>
        <w:tc>
          <w:tcPr>
            <w:tcW w:w="2151" w:type="dxa"/>
          </w:tcPr>
          <w:p w14:paraId="002544B6" w14:textId="1A50D0DB"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204,678 </w:t>
            </w:r>
          </w:p>
        </w:tc>
      </w:tr>
      <w:tr w:rsidR="001B0FBC" w:rsidRPr="00627DA0" w14:paraId="26A24040" w14:textId="77777777" w:rsidTr="00132D93">
        <w:trPr>
          <w:trHeight w:val="261"/>
          <w:jc w:val="center"/>
        </w:trPr>
        <w:tc>
          <w:tcPr>
            <w:tcW w:w="2151" w:type="dxa"/>
            <w:shd w:val="clear" w:color="auto" w:fill="F2F2F2" w:themeFill="background1" w:themeFillShade="F2"/>
            <w:vAlign w:val="center"/>
          </w:tcPr>
          <w:p w14:paraId="43B97608"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Small Retail </w:t>
            </w:r>
          </w:p>
        </w:tc>
        <w:tc>
          <w:tcPr>
            <w:tcW w:w="2151" w:type="dxa"/>
            <w:shd w:val="clear" w:color="auto" w:fill="F2F2F2" w:themeFill="background1" w:themeFillShade="F2"/>
          </w:tcPr>
          <w:p w14:paraId="3CF1E31A" w14:textId="434F89CA"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124,645 </w:t>
            </w:r>
          </w:p>
        </w:tc>
      </w:tr>
      <w:tr w:rsidR="001B0FBC" w:rsidRPr="00627DA0" w14:paraId="3291FDFF" w14:textId="77777777" w:rsidTr="00132D93">
        <w:trPr>
          <w:trHeight w:val="261"/>
          <w:jc w:val="center"/>
        </w:trPr>
        <w:tc>
          <w:tcPr>
            <w:tcW w:w="2151" w:type="dxa"/>
            <w:vAlign w:val="center"/>
          </w:tcPr>
          <w:p w14:paraId="3987AEFE"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School (K-12) </w:t>
            </w:r>
          </w:p>
        </w:tc>
        <w:tc>
          <w:tcPr>
            <w:tcW w:w="2151" w:type="dxa"/>
          </w:tcPr>
          <w:p w14:paraId="255114A6" w14:textId="2B87C289"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2,919,701 </w:t>
            </w:r>
          </w:p>
        </w:tc>
      </w:tr>
      <w:tr w:rsidR="001B0FBC" w:rsidRPr="00627DA0" w14:paraId="0F7A79EC" w14:textId="77777777" w:rsidTr="00132D93">
        <w:trPr>
          <w:trHeight w:val="261"/>
          <w:jc w:val="center"/>
        </w:trPr>
        <w:tc>
          <w:tcPr>
            <w:tcW w:w="2151" w:type="dxa"/>
            <w:shd w:val="clear" w:color="auto" w:fill="F2F2F2" w:themeFill="background1" w:themeFillShade="F2"/>
            <w:vAlign w:val="center"/>
          </w:tcPr>
          <w:p w14:paraId="25C9E360"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University </w:t>
            </w:r>
          </w:p>
        </w:tc>
        <w:tc>
          <w:tcPr>
            <w:tcW w:w="2151" w:type="dxa"/>
            <w:shd w:val="clear" w:color="auto" w:fill="F2F2F2" w:themeFill="background1" w:themeFillShade="F2"/>
          </w:tcPr>
          <w:p w14:paraId="4D249525" w14:textId="0B853A82"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50,058 </w:t>
            </w:r>
          </w:p>
        </w:tc>
      </w:tr>
      <w:tr w:rsidR="001B0FBC" w:rsidRPr="00627DA0" w14:paraId="49A2698D" w14:textId="77777777" w:rsidTr="00132D93">
        <w:trPr>
          <w:trHeight w:val="261"/>
          <w:jc w:val="center"/>
        </w:trPr>
        <w:tc>
          <w:tcPr>
            <w:tcW w:w="2151" w:type="dxa"/>
            <w:vAlign w:val="center"/>
          </w:tcPr>
          <w:p w14:paraId="68A3FF2A"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Warehouse </w:t>
            </w:r>
          </w:p>
        </w:tc>
        <w:tc>
          <w:tcPr>
            <w:tcW w:w="2151" w:type="dxa"/>
          </w:tcPr>
          <w:p w14:paraId="7680E371" w14:textId="6CCAEC06"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12,677,912 </w:t>
            </w:r>
          </w:p>
        </w:tc>
      </w:tr>
      <w:tr w:rsidR="001B0FBC" w:rsidRPr="00627DA0" w14:paraId="793335D4" w14:textId="77777777" w:rsidTr="00132D93">
        <w:trPr>
          <w:trHeight w:val="261"/>
          <w:jc w:val="center"/>
        </w:trPr>
        <w:tc>
          <w:tcPr>
            <w:tcW w:w="2151" w:type="dxa"/>
            <w:shd w:val="clear" w:color="auto" w:fill="F2F2F2" w:themeFill="background1" w:themeFillShade="F2"/>
            <w:vAlign w:val="center"/>
          </w:tcPr>
          <w:p w14:paraId="76B817AB"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Supermarket </w:t>
            </w:r>
          </w:p>
        </w:tc>
        <w:tc>
          <w:tcPr>
            <w:tcW w:w="2151" w:type="dxa"/>
            <w:shd w:val="clear" w:color="auto" w:fill="F2F2F2" w:themeFill="background1" w:themeFillShade="F2"/>
          </w:tcPr>
          <w:p w14:paraId="0F70E5F9" w14:textId="4A4C4FDB"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94,466 </w:t>
            </w:r>
          </w:p>
        </w:tc>
      </w:tr>
      <w:tr w:rsidR="001B0FBC" w:rsidRPr="00627DA0" w14:paraId="321E7E72" w14:textId="77777777" w:rsidTr="00132D93">
        <w:trPr>
          <w:trHeight w:val="261"/>
          <w:jc w:val="center"/>
        </w:trPr>
        <w:tc>
          <w:tcPr>
            <w:tcW w:w="2151" w:type="dxa"/>
            <w:vAlign w:val="center"/>
          </w:tcPr>
          <w:p w14:paraId="3CA504F2"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Mini Mart </w:t>
            </w:r>
          </w:p>
        </w:tc>
        <w:tc>
          <w:tcPr>
            <w:tcW w:w="2151" w:type="dxa"/>
          </w:tcPr>
          <w:p w14:paraId="21BB865E" w14:textId="5E132F15"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17,048 </w:t>
            </w:r>
          </w:p>
        </w:tc>
      </w:tr>
      <w:tr w:rsidR="001B0FBC" w:rsidRPr="00627DA0" w14:paraId="633B142D" w14:textId="77777777" w:rsidTr="00132D93">
        <w:trPr>
          <w:trHeight w:val="250"/>
          <w:jc w:val="center"/>
        </w:trPr>
        <w:tc>
          <w:tcPr>
            <w:tcW w:w="2151" w:type="dxa"/>
            <w:shd w:val="clear" w:color="auto" w:fill="F2F2F2" w:themeFill="background1" w:themeFillShade="F2"/>
            <w:vAlign w:val="center"/>
          </w:tcPr>
          <w:p w14:paraId="56E59B07"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Restaurant </w:t>
            </w:r>
          </w:p>
        </w:tc>
        <w:tc>
          <w:tcPr>
            <w:tcW w:w="2151" w:type="dxa"/>
            <w:shd w:val="clear" w:color="auto" w:fill="F2F2F2" w:themeFill="background1" w:themeFillShade="F2"/>
          </w:tcPr>
          <w:p w14:paraId="41793D8D" w14:textId="670CDCF4"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53,738 </w:t>
            </w:r>
          </w:p>
        </w:tc>
      </w:tr>
      <w:tr w:rsidR="001B0FBC" w:rsidRPr="00627DA0" w14:paraId="387F0500" w14:textId="77777777" w:rsidTr="00132D93">
        <w:trPr>
          <w:trHeight w:val="261"/>
          <w:jc w:val="center"/>
        </w:trPr>
        <w:tc>
          <w:tcPr>
            <w:tcW w:w="2151" w:type="dxa"/>
            <w:vAlign w:val="center"/>
          </w:tcPr>
          <w:p w14:paraId="6C81E6E6"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Lodging </w:t>
            </w:r>
          </w:p>
        </w:tc>
        <w:tc>
          <w:tcPr>
            <w:tcW w:w="2151" w:type="dxa"/>
          </w:tcPr>
          <w:p w14:paraId="4E83FC9D" w14:textId="616F8F05"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461,908 </w:t>
            </w:r>
          </w:p>
        </w:tc>
      </w:tr>
      <w:tr w:rsidR="001B0FBC" w:rsidRPr="00627DA0" w14:paraId="7C53BD56" w14:textId="77777777" w:rsidTr="00132D93">
        <w:trPr>
          <w:trHeight w:val="261"/>
          <w:jc w:val="center"/>
        </w:trPr>
        <w:tc>
          <w:tcPr>
            <w:tcW w:w="2151" w:type="dxa"/>
            <w:shd w:val="clear" w:color="auto" w:fill="F2F2F2" w:themeFill="background1" w:themeFillShade="F2"/>
            <w:vAlign w:val="center"/>
          </w:tcPr>
          <w:p w14:paraId="7BEFB567"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Hospital </w:t>
            </w:r>
          </w:p>
        </w:tc>
        <w:tc>
          <w:tcPr>
            <w:tcW w:w="2151" w:type="dxa"/>
            <w:shd w:val="clear" w:color="auto" w:fill="F2F2F2" w:themeFill="background1" w:themeFillShade="F2"/>
          </w:tcPr>
          <w:p w14:paraId="360F198B" w14:textId="05D3AE38"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   </w:t>
            </w:r>
          </w:p>
        </w:tc>
      </w:tr>
      <w:tr w:rsidR="001B0FBC" w:rsidRPr="00627DA0" w14:paraId="3479EBCD" w14:textId="77777777" w:rsidTr="00132D93">
        <w:trPr>
          <w:trHeight w:val="261"/>
          <w:jc w:val="center"/>
        </w:trPr>
        <w:tc>
          <w:tcPr>
            <w:tcW w:w="2151" w:type="dxa"/>
            <w:vAlign w:val="center"/>
          </w:tcPr>
          <w:p w14:paraId="33939643"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Residential Care </w:t>
            </w:r>
          </w:p>
        </w:tc>
        <w:tc>
          <w:tcPr>
            <w:tcW w:w="2151" w:type="dxa"/>
          </w:tcPr>
          <w:p w14:paraId="3FF8524B" w14:textId="401D00A2"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12,467 </w:t>
            </w:r>
          </w:p>
        </w:tc>
      </w:tr>
      <w:tr w:rsidR="001B0FBC" w:rsidRPr="00627DA0" w14:paraId="792A9E06" w14:textId="77777777" w:rsidTr="00132D93">
        <w:trPr>
          <w:trHeight w:val="261"/>
          <w:jc w:val="center"/>
        </w:trPr>
        <w:tc>
          <w:tcPr>
            <w:tcW w:w="2151" w:type="dxa"/>
            <w:shd w:val="clear" w:color="auto" w:fill="F2F2F2" w:themeFill="background1" w:themeFillShade="F2"/>
            <w:vAlign w:val="center"/>
          </w:tcPr>
          <w:p w14:paraId="4457E82C"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Assembly </w:t>
            </w:r>
          </w:p>
        </w:tc>
        <w:tc>
          <w:tcPr>
            <w:tcW w:w="2151" w:type="dxa"/>
            <w:shd w:val="clear" w:color="auto" w:fill="F2F2F2" w:themeFill="background1" w:themeFillShade="F2"/>
          </w:tcPr>
          <w:p w14:paraId="7B72AB82" w14:textId="3A79745A"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689,815 </w:t>
            </w:r>
          </w:p>
        </w:tc>
      </w:tr>
      <w:tr w:rsidR="001B0FBC" w:rsidRPr="00627DA0" w14:paraId="79EA8350" w14:textId="77777777" w:rsidTr="00132D93">
        <w:trPr>
          <w:trHeight w:val="261"/>
          <w:jc w:val="center"/>
        </w:trPr>
        <w:tc>
          <w:tcPr>
            <w:tcW w:w="2151" w:type="dxa"/>
            <w:tcBorders>
              <w:bottom w:val="single" w:sz="4" w:space="0" w:color="auto"/>
            </w:tcBorders>
            <w:vAlign w:val="center"/>
          </w:tcPr>
          <w:p w14:paraId="72FD397F" w14:textId="77777777" w:rsidR="001B0FBC" w:rsidRPr="00627DA0" w:rsidRDefault="001B0FBC" w:rsidP="001B0FBC">
            <w:pPr>
              <w:pStyle w:val="Caption"/>
              <w:keepNext w:val="0"/>
              <w:spacing w:before="0" w:after="0"/>
              <w:jc w:val="left"/>
              <w:rPr>
                <w:b w:val="0"/>
                <w:bCs/>
                <w:szCs w:val="20"/>
              </w:rPr>
            </w:pPr>
            <w:r w:rsidRPr="00627DA0">
              <w:rPr>
                <w:rFonts w:cs="Arial"/>
                <w:b w:val="0"/>
                <w:bCs/>
                <w:szCs w:val="20"/>
              </w:rPr>
              <w:t xml:space="preserve">Other Commercial </w:t>
            </w:r>
          </w:p>
        </w:tc>
        <w:tc>
          <w:tcPr>
            <w:tcW w:w="2151" w:type="dxa"/>
            <w:tcBorders>
              <w:bottom w:val="single" w:sz="4" w:space="0" w:color="auto"/>
            </w:tcBorders>
          </w:tcPr>
          <w:p w14:paraId="7793BDEF" w14:textId="7C59ECBB" w:rsidR="001B0FBC" w:rsidRPr="00627DA0" w:rsidRDefault="001B0FBC" w:rsidP="001B0FBC">
            <w:pPr>
              <w:pStyle w:val="Caption"/>
              <w:keepNext w:val="0"/>
              <w:spacing w:before="0" w:after="0"/>
              <w:jc w:val="right"/>
              <w:rPr>
                <w:rFonts w:cs="Calibri Light"/>
                <w:b w:val="0"/>
                <w:bCs/>
                <w:szCs w:val="20"/>
              </w:rPr>
            </w:pPr>
            <w:r w:rsidRPr="00627DA0">
              <w:rPr>
                <w:b w:val="0"/>
                <w:bCs/>
              </w:rPr>
              <w:t xml:space="preserve"> 453,226 </w:t>
            </w:r>
          </w:p>
        </w:tc>
      </w:tr>
      <w:tr w:rsidR="001B0FBC" w:rsidRPr="00627DA0" w14:paraId="561C38A4" w14:textId="77777777" w:rsidTr="00132D93">
        <w:trPr>
          <w:trHeight w:val="261"/>
          <w:jc w:val="center"/>
        </w:trPr>
        <w:tc>
          <w:tcPr>
            <w:tcW w:w="2151" w:type="dxa"/>
            <w:tcBorders>
              <w:top w:val="single" w:sz="4" w:space="0" w:color="auto"/>
              <w:bottom w:val="single" w:sz="12" w:space="0" w:color="auto"/>
            </w:tcBorders>
            <w:shd w:val="clear" w:color="auto" w:fill="E7E6E6" w:themeFill="background2"/>
            <w:vAlign w:val="center"/>
          </w:tcPr>
          <w:p w14:paraId="34BCA041" w14:textId="77777777" w:rsidR="001B0FBC" w:rsidRPr="00627DA0" w:rsidRDefault="001B0FBC" w:rsidP="001B0FBC">
            <w:pPr>
              <w:pStyle w:val="Caption"/>
              <w:keepNext w:val="0"/>
              <w:spacing w:before="0" w:after="0"/>
              <w:jc w:val="left"/>
              <w:rPr>
                <w:szCs w:val="20"/>
              </w:rPr>
            </w:pPr>
            <w:r w:rsidRPr="00627DA0">
              <w:rPr>
                <w:rFonts w:cs="Arial"/>
                <w:szCs w:val="20"/>
              </w:rPr>
              <w:t>Total</w:t>
            </w:r>
          </w:p>
        </w:tc>
        <w:tc>
          <w:tcPr>
            <w:tcW w:w="2151" w:type="dxa"/>
            <w:tcBorders>
              <w:top w:val="single" w:sz="4" w:space="0" w:color="auto"/>
              <w:bottom w:val="single" w:sz="12" w:space="0" w:color="auto"/>
            </w:tcBorders>
            <w:shd w:val="clear" w:color="auto" w:fill="E7E6E6" w:themeFill="background2"/>
          </w:tcPr>
          <w:p w14:paraId="435CB1C2" w14:textId="2A0F8653" w:rsidR="001B0FBC" w:rsidRPr="00627DA0" w:rsidRDefault="001B0FBC" w:rsidP="001B0FBC">
            <w:pPr>
              <w:pStyle w:val="Caption"/>
              <w:keepNext w:val="0"/>
              <w:spacing w:before="0" w:after="0"/>
              <w:jc w:val="right"/>
              <w:rPr>
                <w:rFonts w:cs="Calibri Light"/>
                <w:szCs w:val="20"/>
              </w:rPr>
            </w:pPr>
            <w:r w:rsidRPr="00627DA0">
              <w:t xml:space="preserve"> 19,949,520 </w:t>
            </w:r>
          </w:p>
        </w:tc>
      </w:tr>
    </w:tbl>
    <w:p w14:paraId="13B5CB44" w14:textId="55C2ABB4" w:rsidR="00F14768" w:rsidRPr="00627DA0" w:rsidRDefault="00973173" w:rsidP="00F14768">
      <w:pPr>
        <w:spacing w:before="240"/>
      </w:pPr>
      <w:r w:rsidRPr="00627DA0">
        <w:t>T</w:t>
      </w:r>
      <w:r w:rsidR="00C30A82" w:rsidRPr="00627DA0">
        <w:t>he project team</w:t>
      </w:r>
      <w:r w:rsidR="00F14768" w:rsidRPr="00627DA0">
        <w:t xml:space="preserve"> a</w:t>
      </w:r>
      <w:r w:rsidR="002E6503" w:rsidRPr="00627DA0">
        <w:t>ssum</w:t>
      </w:r>
      <w:r w:rsidR="00F14768" w:rsidRPr="00627DA0">
        <w:t xml:space="preserve">ed </w:t>
      </w:r>
      <w:r w:rsidR="00C62DE6" w:rsidRPr="00627DA0">
        <w:t>a growth rate of 2.6% in the commercial sector based on historical</w:t>
      </w:r>
      <w:r w:rsidR="00874450" w:rsidRPr="00627DA0">
        <w:t>, non-residential</w:t>
      </w:r>
      <w:r w:rsidR="00C62DE6" w:rsidRPr="00627DA0">
        <w:t xml:space="preserve"> sales </w:t>
      </w:r>
      <w:r w:rsidR="00874450" w:rsidRPr="00627DA0">
        <w:t>trends reported</w:t>
      </w:r>
      <w:r w:rsidR="005039A2" w:rsidRPr="00627DA0">
        <w:t xml:space="preserve"> to the US EIA. </w:t>
      </w:r>
      <w:r w:rsidR="00D51527" w:rsidRPr="00627DA0">
        <w:t>This is a decrease</w:t>
      </w:r>
      <w:r w:rsidR="00D9264C" w:rsidRPr="00627DA0">
        <w:t xml:space="preserve"> from the 2023 CPA’s assumed growth rate of </w:t>
      </w:r>
      <w:r w:rsidR="00874450" w:rsidRPr="00627DA0">
        <w:t>2.9</w:t>
      </w:r>
      <w:r w:rsidR="00D9264C" w:rsidRPr="00627DA0">
        <w:t>%.</w:t>
      </w:r>
    </w:p>
    <w:p w14:paraId="4043A175" w14:textId="77777777" w:rsidR="00F14768" w:rsidRPr="00627DA0" w:rsidRDefault="00F14768" w:rsidP="00F14768">
      <w:pPr>
        <w:pStyle w:val="Heading2"/>
      </w:pPr>
      <w:bookmarkStart w:id="59" w:name="_Toc207870669"/>
      <w:r w:rsidRPr="00627DA0">
        <w:t>Industrial</w:t>
      </w:r>
      <w:bookmarkEnd w:id="59"/>
    </w:p>
    <w:p w14:paraId="7D95D05B" w14:textId="77777777" w:rsidR="00F14768" w:rsidRPr="00627DA0" w:rsidRDefault="00F14768" w:rsidP="00F14768">
      <w:r w:rsidRPr="00627DA0">
        <w:t>The methodology used to estimate potential in the industrial sector is different from the residential and commercial sectors. Instead of building a bottom-up estimate of the savings associated with individual measures, potential in the industrial sector is quantified using a top-down approach that uses the annual energy consumption within individual industrial segments, which is then further disaggregated into end uses. Savings for individual measures are calculated by applying an assumed savings percentage to the applicable end use consumption within each industrial segment.</w:t>
      </w:r>
    </w:p>
    <w:p w14:paraId="77671E81" w14:textId="4E4D5051" w:rsidR="00F14768" w:rsidRPr="00627DA0" w:rsidRDefault="0032364D" w:rsidP="00F14768">
      <w:r w:rsidRPr="00627DA0">
        <w:t>Inland Power</w:t>
      </w:r>
      <w:r w:rsidR="0019400A" w:rsidRPr="00627DA0">
        <w:t xml:space="preserve"> provided</w:t>
      </w:r>
      <w:r w:rsidR="00F14768" w:rsidRPr="00627DA0">
        <w:t xml:space="preserve"> </w:t>
      </w:r>
      <w:r w:rsidR="00504902" w:rsidRPr="00627DA0">
        <w:t xml:space="preserve">non-residential </w:t>
      </w:r>
      <w:r w:rsidR="00CB1370" w:rsidRPr="00627DA0">
        <w:t>customer account sales for 2024 that the project team mapped to the commercial and industrial building types</w:t>
      </w:r>
      <w:r w:rsidR="0074245E" w:rsidRPr="00627DA0">
        <w:t>.</w:t>
      </w:r>
      <w:r w:rsidR="0019400A" w:rsidRPr="00627DA0">
        <w:t xml:space="preserve"> </w:t>
      </w:r>
      <w:r w:rsidR="00CD5C93" w:rsidRPr="00627DA0">
        <w:t>Based on this mapping, t</w:t>
      </w:r>
      <w:r w:rsidR="00F14768" w:rsidRPr="00627DA0">
        <w:t>he</w:t>
      </w:r>
      <w:r w:rsidR="00CB1370" w:rsidRPr="00627DA0">
        <w:t xml:space="preserve"> aggregate</w:t>
      </w:r>
      <w:r w:rsidR="00C02F9E" w:rsidRPr="00627DA0">
        <w:t xml:space="preserve"> 2024</w:t>
      </w:r>
      <w:r w:rsidR="00F14768" w:rsidRPr="00627DA0">
        <w:t xml:space="preserve"> industrial consumption</w:t>
      </w:r>
      <w:r w:rsidR="00CB1370" w:rsidRPr="00627DA0">
        <w:t xml:space="preserve"> </w:t>
      </w:r>
      <w:r w:rsidR="005961F5" w:rsidRPr="00627DA0">
        <w:t>was estimated at 54,336 MWh</w:t>
      </w:r>
      <w:r w:rsidR="004C43B4" w:rsidRPr="00627DA0">
        <w:t xml:space="preserve"> and is summarized by building type in </w:t>
      </w:r>
      <w:r w:rsidR="004C43B4" w:rsidRPr="00627DA0">
        <w:fldChar w:fldCharType="begin"/>
      </w:r>
      <w:r w:rsidR="004C43B4" w:rsidRPr="00627DA0">
        <w:instrText xml:space="preserve"> REF _Ref48646307 \h </w:instrText>
      </w:r>
      <w:r w:rsidR="004C43B4" w:rsidRPr="00627DA0">
        <w:fldChar w:fldCharType="separate"/>
      </w:r>
      <w:r w:rsidR="00431297" w:rsidRPr="00627DA0">
        <w:t>Table 8</w:t>
      </w:r>
      <w:r w:rsidR="004C43B4" w:rsidRPr="00627DA0">
        <w:fldChar w:fldCharType="end"/>
      </w:r>
      <w:r w:rsidR="004C43B4" w:rsidRPr="00627DA0">
        <w:t xml:space="preserve">. This is </w:t>
      </w:r>
      <w:r w:rsidR="007C1257" w:rsidRPr="00627DA0">
        <w:t>a 2</w:t>
      </w:r>
      <w:r w:rsidR="007E1068" w:rsidRPr="00627DA0">
        <w:t>0</w:t>
      </w:r>
      <w:r w:rsidR="007C1257" w:rsidRPr="00627DA0">
        <w:t xml:space="preserve">% increase from the 2023 CPA, </w:t>
      </w:r>
      <w:r w:rsidR="00481093" w:rsidRPr="00627DA0">
        <w:t xml:space="preserve">because in the 2023 CPA grain storage facilities were excluded. For this CPA, the project team </w:t>
      </w:r>
      <w:r w:rsidR="00E535CE" w:rsidRPr="00627DA0">
        <w:t>incorporated these sites under the miscellaneous manufacturing segment</w:t>
      </w:r>
      <w:r w:rsidR="00A663AC" w:rsidRPr="00627DA0">
        <w:t xml:space="preserve"> where the energy efficiency savings opportunities are most consistent with that of a grain storage facility. </w:t>
      </w:r>
      <w:r w:rsidR="00F24689" w:rsidRPr="00627DA0">
        <w:t xml:space="preserve"> </w:t>
      </w:r>
    </w:p>
    <w:p w14:paraId="3F8581B6" w14:textId="3F526C41" w:rsidR="00904F18" w:rsidRPr="00627DA0" w:rsidRDefault="00323E37" w:rsidP="00F14768">
      <w:r w:rsidRPr="00627DA0">
        <w:t>The project team assumed that i</w:t>
      </w:r>
      <w:r w:rsidR="00F14768" w:rsidRPr="00627DA0">
        <w:t xml:space="preserve">ndustrial loads </w:t>
      </w:r>
      <w:r w:rsidR="0032429D" w:rsidRPr="00627DA0">
        <w:t>would</w:t>
      </w:r>
      <w:r w:rsidR="00F14768" w:rsidRPr="00627DA0">
        <w:t xml:space="preserve"> grow at a rate of </w:t>
      </w:r>
      <w:r w:rsidR="00A663AC" w:rsidRPr="00627DA0">
        <w:t>2.6</w:t>
      </w:r>
      <w:r w:rsidR="00F14768" w:rsidRPr="00627DA0">
        <w:t>%</w:t>
      </w:r>
      <w:r w:rsidR="00A527AD" w:rsidRPr="00627DA0">
        <w:t xml:space="preserve">, based on the </w:t>
      </w:r>
      <w:r w:rsidR="00A663AC" w:rsidRPr="00627DA0">
        <w:t>historical non-residential sector growth for Inland Power’s Washington customers</w:t>
      </w:r>
      <w:r w:rsidR="003B37C7" w:rsidRPr="00627DA0">
        <w:t xml:space="preserve">. </w:t>
      </w:r>
      <w:r w:rsidR="00D85A18" w:rsidRPr="00627DA0">
        <w:t>This is a</w:t>
      </w:r>
      <w:r w:rsidR="00DE3320" w:rsidRPr="00627DA0">
        <w:t xml:space="preserve"> slight </w:t>
      </w:r>
      <w:r w:rsidR="00D85A18" w:rsidRPr="00627DA0">
        <w:t>de</w:t>
      </w:r>
      <w:r w:rsidR="00DE3320" w:rsidRPr="00627DA0">
        <w:t>crease</w:t>
      </w:r>
      <w:r w:rsidR="00314A4B" w:rsidRPr="00627DA0">
        <w:t xml:space="preserve"> </w:t>
      </w:r>
      <w:r w:rsidR="00272888" w:rsidRPr="00627DA0">
        <w:t xml:space="preserve">from the </w:t>
      </w:r>
      <w:r w:rsidR="00314A4B" w:rsidRPr="00627DA0">
        <w:t>growth rate</w:t>
      </w:r>
      <w:r w:rsidR="00D85A18" w:rsidRPr="00627DA0">
        <w:t xml:space="preserve"> of </w:t>
      </w:r>
      <w:r w:rsidR="00A663AC" w:rsidRPr="00627DA0">
        <w:t>2.9</w:t>
      </w:r>
      <w:r w:rsidR="00D85A18" w:rsidRPr="00627DA0">
        <w:t>%</w:t>
      </w:r>
      <w:r w:rsidR="00314A4B" w:rsidRPr="00627DA0">
        <w:t xml:space="preserve"> </w:t>
      </w:r>
      <w:r w:rsidR="00DE3320" w:rsidRPr="00627DA0">
        <w:t>assum</w:t>
      </w:r>
      <w:r w:rsidR="00417079" w:rsidRPr="00627DA0">
        <w:t>ed</w:t>
      </w:r>
      <w:r w:rsidR="00314A4B" w:rsidRPr="00627DA0">
        <w:t xml:space="preserve"> i</w:t>
      </w:r>
      <w:r w:rsidR="00F14768" w:rsidRPr="00627DA0">
        <w:t>n the 202</w:t>
      </w:r>
      <w:r w:rsidR="00314A4B" w:rsidRPr="00627DA0">
        <w:t>3</w:t>
      </w:r>
      <w:r w:rsidR="00F14768" w:rsidRPr="00627DA0">
        <w:t xml:space="preserve"> CPA</w:t>
      </w:r>
      <w:r w:rsidR="00314A4B" w:rsidRPr="00627DA0">
        <w:t>.</w:t>
      </w:r>
      <w:r w:rsidR="00FA70D8" w:rsidRPr="00627DA0">
        <w:t xml:space="preserve"> </w:t>
      </w:r>
      <w:r w:rsidR="004F6FCB" w:rsidRPr="00627DA0">
        <w:t xml:space="preserve">Although the growth rate is lower, </w:t>
      </w:r>
      <w:r w:rsidR="00FA70D8" w:rsidRPr="00627DA0">
        <w:t xml:space="preserve">industrial </w:t>
      </w:r>
      <w:r w:rsidR="00FA70D8" w:rsidRPr="00627DA0">
        <w:lastRenderedPageBreak/>
        <w:t>loads are</w:t>
      </w:r>
      <w:r w:rsidR="002F110D" w:rsidRPr="00627DA0">
        <w:t xml:space="preserve"> still</w:t>
      </w:r>
      <w:r w:rsidR="00FA70D8" w:rsidRPr="00627DA0">
        <w:t xml:space="preserve"> projected to be</w:t>
      </w:r>
      <w:r w:rsidR="002F110D" w:rsidRPr="00627DA0">
        <w:t xml:space="preserve"> higher</w:t>
      </w:r>
      <w:r w:rsidR="00B7019B" w:rsidRPr="00627DA0">
        <w:t xml:space="preserve"> than in the 2023 CPA</w:t>
      </w:r>
      <w:r w:rsidR="00FA70D8" w:rsidRPr="00627DA0">
        <w:t xml:space="preserve"> due to </w:t>
      </w:r>
      <w:r w:rsidR="002F110D" w:rsidRPr="00627DA0">
        <w:t xml:space="preserve">the greater base year sales identified in the industrial sector. </w:t>
      </w:r>
    </w:p>
    <w:p w14:paraId="02866F96" w14:textId="22621623" w:rsidR="00F14768" w:rsidRPr="00627DA0" w:rsidRDefault="00F14768" w:rsidP="00F14768">
      <w:pPr>
        <w:pStyle w:val="Caption"/>
      </w:pPr>
      <w:bookmarkStart w:id="60" w:name="_Ref48646307"/>
      <w:bookmarkStart w:id="61" w:name="_Toc207870737"/>
      <w:r w:rsidRPr="00627DA0">
        <w:t xml:space="preserve">Table </w:t>
      </w:r>
      <w:fldSimple w:instr=" SEQ Table \* ARABIC ">
        <w:r w:rsidR="00431297" w:rsidRPr="00627DA0">
          <w:t>8</w:t>
        </w:r>
      </w:fldSimple>
      <w:bookmarkEnd w:id="60"/>
      <w:r w:rsidRPr="00627DA0">
        <w:t>: Industrial Sector Sales by Segment</w:t>
      </w:r>
      <w:bookmarkEnd w:id="61"/>
    </w:p>
    <w:tbl>
      <w:tblPr>
        <w:tblStyle w:val="Lighthouse1"/>
        <w:tblW w:w="0" w:type="auto"/>
        <w:jc w:val="center"/>
        <w:tblLook w:val="0420" w:firstRow="1" w:lastRow="0" w:firstColumn="0" w:lastColumn="0" w:noHBand="0" w:noVBand="1"/>
      </w:tblPr>
      <w:tblGrid>
        <w:gridCol w:w="2971"/>
        <w:gridCol w:w="1814"/>
      </w:tblGrid>
      <w:tr w:rsidR="00A90B2C" w:rsidRPr="00627DA0" w14:paraId="108478C0" w14:textId="77777777" w:rsidTr="00FE3E52">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35F4F163" w14:textId="77777777" w:rsidR="00A90B2C" w:rsidRPr="00627DA0" w:rsidRDefault="00A90B2C" w:rsidP="00F666BD">
            <w:pPr>
              <w:jc w:val="left"/>
              <w:rPr>
                <w:rFonts w:asciiTheme="minorHAnsi" w:eastAsia="Times New Roman" w:hAnsiTheme="minorHAnsi" w:cs="Arial"/>
                <w:color w:val="FFFFFF"/>
                <w:szCs w:val="20"/>
              </w:rPr>
            </w:pPr>
            <w:r w:rsidRPr="00627DA0">
              <w:rPr>
                <w:rFonts w:asciiTheme="minorHAnsi" w:eastAsia="Times New Roman" w:hAnsiTheme="minorHAnsi" w:cs="Arial"/>
                <w:color w:val="FFFFFF"/>
                <w:szCs w:val="20"/>
              </w:rPr>
              <w:t>Segment</w:t>
            </w:r>
          </w:p>
        </w:tc>
        <w:tc>
          <w:tcPr>
            <w:tcW w:w="0" w:type="auto"/>
            <w:noWrap/>
            <w:hideMark/>
          </w:tcPr>
          <w:p w14:paraId="35D03B6C" w14:textId="05586D74" w:rsidR="00A90B2C" w:rsidRPr="00627DA0" w:rsidRDefault="00E16C6B" w:rsidP="00A90B2C">
            <w:pPr>
              <w:rPr>
                <w:rFonts w:asciiTheme="minorHAnsi" w:eastAsia="Times New Roman" w:hAnsiTheme="minorHAnsi" w:cs="Arial"/>
                <w:color w:val="FFFFFF"/>
                <w:szCs w:val="20"/>
              </w:rPr>
            </w:pPr>
            <w:r w:rsidRPr="00627DA0">
              <w:rPr>
                <w:rFonts w:asciiTheme="minorHAnsi" w:eastAsia="Times New Roman" w:hAnsiTheme="minorHAnsi" w:cs="Arial"/>
                <w:color w:val="FFFFFF"/>
                <w:szCs w:val="20"/>
              </w:rPr>
              <w:t xml:space="preserve">2024 </w:t>
            </w:r>
            <w:r w:rsidR="00A90B2C" w:rsidRPr="00627DA0">
              <w:rPr>
                <w:rFonts w:asciiTheme="minorHAnsi" w:eastAsia="Times New Roman" w:hAnsiTheme="minorHAnsi" w:cs="Arial"/>
                <w:color w:val="FFFFFF"/>
                <w:szCs w:val="20"/>
              </w:rPr>
              <w:t>Sales (MWh)</w:t>
            </w:r>
          </w:p>
        </w:tc>
      </w:tr>
      <w:tr w:rsidR="00AD608E" w:rsidRPr="00627DA0" w14:paraId="6BB24C9F"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45192169"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Water Supply</w:t>
            </w:r>
          </w:p>
        </w:tc>
        <w:tc>
          <w:tcPr>
            <w:tcW w:w="0" w:type="auto"/>
            <w:noWrap/>
            <w:hideMark/>
          </w:tcPr>
          <w:p w14:paraId="78518D9A" w14:textId="343E5A3D" w:rsidR="00AD608E" w:rsidRPr="00627DA0" w:rsidRDefault="00AD608E" w:rsidP="00AD608E">
            <w:pPr>
              <w:rPr>
                <w:rFonts w:asciiTheme="minorHAnsi" w:eastAsia="Times New Roman" w:hAnsiTheme="minorHAnsi" w:cs="Arial"/>
                <w:color w:val="000000"/>
                <w:szCs w:val="20"/>
              </w:rPr>
            </w:pPr>
            <w:r w:rsidRPr="00627DA0">
              <w:t xml:space="preserve"> 5,300 </w:t>
            </w:r>
          </w:p>
        </w:tc>
      </w:tr>
      <w:tr w:rsidR="00AD608E" w:rsidRPr="00627DA0" w14:paraId="2069C50B"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32325D62"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Sewage Treatment</w:t>
            </w:r>
          </w:p>
        </w:tc>
        <w:tc>
          <w:tcPr>
            <w:tcW w:w="0" w:type="auto"/>
            <w:noWrap/>
            <w:hideMark/>
          </w:tcPr>
          <w:p w14:paraId="51901B07" w14:textId="68CE858D" w:rsidR="00AD608E" w:rsidRPr="00627DA0" w:rsidRDefault="00AD608E" w:rsidP="00AD608E">
            <w:pPr>
              <w:rPr>
                <w:rFonts w:asciiTheme="minorHAnsi" w:eastAsia="Times New Roman" w:hAnsiTheme="minorHAnsi" w:cs="Arial"/>
                <w:color w:val="000000"/>
                <w:szCs w:val="20"/>
              </w:rPr>
            </w:pPr>
            <w:r w:rsidRPr="00627DA0">
              <w:t xml:space="preserve"> 3,218 </w:t>
            </w:r>
          </w:p>
        </w:tc>
      </w:tr>
      <w:tr w:rsidR="00AD608E" w:rsidRPr="00627DA0" w14:paraId="4685782D"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14B9073F"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Frozen Food</w:t>
            </w:r>
          </w:p>
        </w:tc>
        <w:tc>
          <w:tcPr>
            <w:tcW w:w="0" w:type="auto"/>
            <w:noWrap/>
            <w:hideMark/>
          </w:tcPr>
          <w:p w14:paraId="152BA5D4" w14:textId="00374585"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40466051"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09603F1A"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Other Food</w:t>
            </w:r>
          </w:p>
        </w:tc>
        <w:tc>
          <w:tcPr>
            <w:tcW w:w="0" w:type="auto"/>
            <w:noWrap/>
            <w:hideMark/>
          </w:tcPr>
          <w:p w14:paraId="329604E4" w14:textId="447B0DD0" w:rsidR="00AD608E" w:rsidRPr="00627DA0" w:rsidRDefault="00AD608E" w:rsidP="00AD608E">
            <w:pPr>
              <w:rPr>
                <w:rFonts w:asciiTheme="minorHAnsi" w:eastAsia="Times New Roman" w:hAnsiTheme="minorHAnsi" w:cs="Arial"/>
                <w:color w:val="000000"/>
                <w:szCs w:val="20"/>
              </w:rPr>
            </w:pPr>
            <w:r w:rsidRPr="00627DA0">
              <w:t xml:space="preserve"> 539 </w:t>
            </w:r>
          </w:p>
        </w:tc>
      </w:tr>
      <w:tr w:rsidR="00AD608E" w:rsidRPr="00627DA0" w14:paraId="249E4EDF"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66E9D3D2"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Wood - Lumber</w:t>
            </w:r>
          </w:p>
        </w:tc>
        <w:tc>
          <w:tcPr>
            <w:tcW w:w="0" w:type="auto"/>
            <w:noWrap/>
            <w:hideMark/>
          </w:tcPr>
          <w:p w14:paraId="7D183460" w14:textId="539840E2"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53DA7829"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68448E8F"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Wood - Panel</w:t>
            </w:r>
          </w:p>
        </w:tc>
        <w:tc>
          <w:tcPr>
            <w:tcW w:w="0" w:type="auto"/>
            <w:noWrap/>
            <w:hideMark/>
          </w:tcPr>
          <w:p w14:paraId="3549309B" w14:textId="33267559"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1DE4CD0C"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7F408C2A"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Wood - Other</w:t>
            </w:r>
          </w:p>
        </w:tc>
        <w:tc>
          <w:tcPr>
            <w:tcW w:w="0" w:type="auto"/>
            <w:noWrap/>
            <w:hideMark/>
          </w:tcPr>
          <w:p w14:paraId="0421C08E" w14:textId="2AD769DF"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0684E621"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6D9B0772" w14:textId="5968565C"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Pulp and Paper Mills (TMP)</w:t>
            </w:r>
          </w:p>
        </w:tc>
        <w:tc>
          <w:tcPr>
            <w:tcW w:w="0" w:type="auto"/>
            <w:noWrap/>
            <w:hideMark/>
          </w:tcPr>
          <w:p w14:paraId="30213F44" w14:textId="5903012A"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44CC12F3"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337D2BF9"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Pulp and Paper Mills (Kraft)</w:t>
            </w:r>
          </w:p>
        </w:tc>
        <w:tc>
          <w:tcPr>
            <w:tcW w:w="0" w:type="auto"/>
            <w:noWrap/>
            <w:hideMark/>
          </w:tcPr>
          <w:p w14:paraId="5D19E0A5" w14:textId="2284CBCA"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2901495C"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tcPr>
          <w:p w14:paraId="6BC7C8B1" w14:textId="002C525E" w:rsidR="00AD608E" w:rsidRPr="00627DA0" w:rsidRDefault="00AD608E" w:rsidP="00AD608E">
            <w:pPr>
              <w:jc w:val="left"/>
              <w:rPr>
                <w:rFonts w:asciiTheme="minorHAnsi" w:eastAsia="Times New Roman" w:hAnsiTheme="minorHAnsi" w:cs="Arial"/>
                <w:szCs w:val="20"/>
              </w:rPr>
            </w:pPr>
            <w:r w:rsidRPr="00627DA0">
              <w:rPr>
                <w:rFonts w:asciiTheme="minorHAnsi" w:eastAsia="Times New Roman" w:hAnsiTheme="minorHAnsi" w:cs="Arial"/>
                <w:szCs w:val="20"/>
              </w:rPr>
              <w:t>Paper Conversion Plants</w:t>
            </w:r>
          </w:p>
        </w:tc>
        <w:tc>
          <w:tcPr>
            <w:tcW w:w="0" w:type="auto"/>
            <w:noWrap/>
          </w:tcPr>
          <w:p w14:paraId="6A6B1493" w14:textId="789BCC77" w:rsidR="00AD608E" w:rsidRPr="00627DA0" w:rsidRDefault="00AD608E" w:rsidP="00AD608E">
            <w:pPr>
              <w:rPr>
                <w:rFonts w:asciiTheme="minorHAnsi" w:hAnsiTheme="minorHAnsi"/>
                <w:color w:val="000000"/>
                <w:szCs w:val="20"/>
              </w:rPr>
            </w:pPr>
            <w:r w:rsidRPr="00627DA0">
              <w:t xml:space="preserve"> -   </w:t>
            </w:r>
          </w:p>
        </w:tc>
      </w:tr>
      <w:tr w:rsidR="00AD608E" w:rsidRPr="00627DA0" w14:paraId="25E36F1A"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748D629B"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Refinery</w:t>
            </w:r>
          </w:p>
        </w:tc>
        <w:tc>
          <w:tcPr>
            <w:tcW w:w="0" w:type="auto"/>
            <w:noWrap/>
            <w:hideMark/>
          </w:tcPr>
          <w:p w14:paraId="61697612" w14:textId="713AAAF8"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331D23EA"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2129F4C4"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Chemical Manufacturing</w:t>
            </w:r>
          </w:p>
        </w:tc>
        <w:tc>
          <w:tcPr>
            <w:tcW w:w="0" w:type="auto"/>
            <w:noWrap/>
            <w:hideMark/>
          </w:tcPr>
          <w:p w14:paraId="45002F23" w14:textId="7AF9931C" w:rsidR="00AD608E" w:rsidRPr="00627DA0" w:rsidRDefault="00AD608E" w:rsidP="00AD608E">
            <w:pPr>
              <w:rPr>
                <w:rFonts w:asciiTheme="minorHAnsi" w:eastAsia="Times New Roman" w:hAnsiTheme="minorHAnsi" w:cs="Arial"/>
                <w:color w:val="000000"/>
                <w:szCs w:val="20"/>
              </w:rPr>
            </w:pPr>
            <w:r w:rsidRPr="00627DA0">
              <w:t xml:space="preserve"> 41 </w:t>
            </w:r>
          </w:p>
        </w:tc>
      </w:tr>
      <w:tr w:rsidR="00AD608E" w:rsidRPr="00627DA0" w14:paraId="596550E6"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7FF78572"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Silicon Growing/Manufacturing</w:t>
            </w:r>
          </w:p>
        </w:tc>
        <w:tc>
          <w:tcPr>
            <w:tcW w:w="0" w:type="auto"/>
            <w:noWrap/>
            <w:hideMark/>
          </w:tcPr>
          <w:p w14:paraId="7C580FDB" w14:textId="78D1DA2C"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157CFFBF"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1EDD69A3"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Cement/Concrete Products</w:t>
            </w:r>
          </w:p>
        </w:tc>
        <w:tc>
          <w:tcPr>
            <w:tcW w:w="0" w:type="auto"/>
            <w:noWrap/>
            <w:hideMark/>
          </w:tcPr>
          <w:p w14:paraId="51A080E0" w14:textId="4A028A90" w:rsidR="00AD608E" w:rsidRPr="00627DA0" w:rsidRDefault="00AD608E" w:rsidP="00AD608E">
            <w:pPr>
              <w:rPr>
                <w:rFonts w:asciiTheme="minorHAnsi" w:eastAsia="Times New Roman" w:hAnsiTheme="minorHAnsi" w:cs="Arial"/>
                <w:color w:val="000000"/>
                <w:szCs w:val="20"/>
              </w:rPr>
            </w:pPr>
            <w:r w:rsidRPr="00627DA0">
              <w:t xml:space="preserve"> 4,275 </w:t>
            </w:r>
          </w:p>
        </w:tc>
      </w:tr>
      <w:tr w:rsidR="00AD608E" w:rsidRPr="00627DA0" w14:paraId="40DA212E"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776C0B37"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Primary Metal Manufacturing</w:t>
            </w:r>
          </w:p>
        </w:tc>
        <w:tc>
          <w:tcPr>
            <w:tcW w:w="0" w:type="auto"/>
            <w:noWrap/>
            <w:hideMark/>
          </w:tcPr>
          <w:p w14:paraId="307CDA94" w14:textId="0361AA02"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79D7A9BD"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0B37AB25"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Fabricated Metal Manufacturing</w:t>
            </w:r>
          </w:p>
        </w:tc>
        <w:tc>
          <w:tcPr>
            <w:tcW w:w="0" w:type="auto"/>
            <w:noWrap/>
            <w:hideMark/>
          </w:tcPr>
          <w:p w14:paraId="77B87118" w14:textId="77625B03" w:rsidR="00AD608E" w:rsidRPr="00627DA0" w:rsidRDefault="00AD608E" w:rsidP="00AD608E">
            <w:pPr>
              <w:rPr>
                <w:rFonts w:asciiTheme="minorHAnsi" w:eastAsia="Times New Roman" w:hAnsiTheme="minorHAnsi" w:cs="Arial"/>
                <w:color w:val="000000"/>
                <w:szCs w:val="20"/>
              </w:rPr>
            </w:pPr>
            <w:r w:rsidRPr="00627DA0">
              <w:t xml:space="preserve"> 7,316 </w:t>
            </w:r>
          </w:p>
        </w:tc>
      </w:tr>
      <w:tr w:rsidR="00AD608E" w:rsidRPr="00627DA0" w14:paraId="372F33A9"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6197B9F5"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Semiconductor Manufacturing</w:t>
            </w:r>
          </w:p>
        </w:tc>
        <w:tc>
          <w:tcPr>
            <w:tcW w:w="0" w:type="auto"/>
            <w:noWrap/>
            <w:hideMark/>
          </w:tcPr>
          <w:p w14:paraId="778EAA7B" w14:textId="2D1361F5" w:rsidR="00AD608E" w:rsidRPr="00627DA0" w:rsidRDefault="00AD608E" w:rsidP="00AD608E">
            <w:pPr>
              <w:rPr>
                <w:rFonts w:asciiTheme="minorHAnsi" w:eastAsia="Times New Roman" w:hAnsiTheme="minorHAnsi" w:cs="Arial"/>
                <w:color w:val="000000"/>
                <w:szCs w:val="20"/>
              </w:rPr>
            </w:pPr>
            <w:r w:rsidRPr="00627DA0">
              <w:t xml:space="preserve"> -   </w:t>
            </w:r>
          </w:p>
        </w:tc>
      </w:tr>
      <w:tr w:rsidR="00AD608E" w:rsidRPr="00627DA0" w14:paraId="700496B1"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28DDA15A"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Transportation Equipment</w:t>
            </w:r>
          </w:p>
        </w:tc>
        <w:tc>
          <w:tcPr>
            <w:tcW w:w="0" w:type="auto"/>
            <w:noWrap/>
            <w:hideMark/>
          </w:tcPr>
          <w:p w14:paraId="75A5ADAC" w14:textId="662F6DFF" w:rsidR="00AD608E" w:rsidRPr="00627DA0" w:rsidRDefault="00AD608E" w:rsidP="00AD608E">
            <w:pPr>
              <w:rPr>
                <w:rFonts w:asciiTheme="minorHAnsi" w:eastAsia="Times New Roman" w:hAnsiTheme="minorHAnsi" w:cs="Arial"/>
                <w:color w:val="000000"/>
                <w:szCs w:val="20"/>
              </w:rPr>
            </w:pPr>
            <w:r w:rsidRPr="00627DA0">
              <w:t xml:space="preserve"> 233 </w:t>
            </w:r>
          </w:p>
        </w:tc>
      </w:tr>
      <w:tr w:rsidR="00AD608E" w:rsidRPr="00627DA0" w14:paraId="38CD3FA2"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7B160433"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Misc. Manufacturing</w:t>
            </w:r>
          </w:p>
        </w:tc>
        <w:tc>
          <w:tcPr>
            <w:tcW w:w="0" w:type="auto"/>
            <w:noWrap/>
            <w:hideMark/>
          </w:tcPr>
          <w:p w14:paraId="148B2313" w14:textId="2639B708" w:rsidR="00AD608E" w:rsidRPr="00627DA0" w:rsidRDefault="00AD608E" w:rsidP="00AD608E">
            <w:pPr>
              <w:rPr>
                <w:rFonts w:asciiTheme="minorHAnsi" w:eastAsia="Times New Roman" w:hAnsiTheme="minorHAnsi" w:cs="Arial"/>
                <w:color w:val="000000"/>
                <w:szCs w:val="20"/>
              </w:rPr>
            </w:pPr>
            <w:r w:rsidRPr="00627DA0">
              <w:t xml:space="preserve"> 9,498 </w:t>
            </w:r>
          </w:p>
        </w:tc>
      </w:tr>
      <w:tr w:rsidR="00AD608E" w:rsidRPr="00627DA0" w14:paraId="79D3807B"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noWrap/>
            <w:hideMark/>
          </w:tcPr>
          <w:p w14:paraId="350EF861"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Refrigerated Warehouse</w:t>
            </w:r>
          </w:p>
        </w:tc>
        <w:tc>
          <w:tcPr>
            <w:tcW w:w="0" w:type="auto"/>
            <w:noWrap/>
            <w:hideMark/>
          </w:tcPr>
          <w:p w14:paraId="7F3A4770" w14:textId="2C49A9A4" w:rsidR="00AD608E" w:rsidRPr="00627DA0" w:rsidRDefault="00AD608E" w:rsidP="00AD608E">
            <w:pPr>
              <w:rPr>
                <w:rFonts w:asciiTheme="minorHAnsi" w:eastAsia="Times New Roman" w:hAnsiTheme="minorHAnsi" w:cs="Arial"/>
                <w:color w:val="000000"/>
                <w:szCs w:val="20"/>
              </w:rPr>
            </w:pPr>
            <w:r w:rsidRPr="00627DA0">
              <w:t xml:space="preserve"> 1,406 </w:t>
            </w:r>
          </w:p>
        </w:tc>
      </w:tr>
      <w:tr w:rsidR="00AD608E" w:rsidRPr="00627DA0" w14:paraId="33ABAE43"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noWrap/>
            <w:hideMark/>
          </w:tcPr>
          <w:p w14:paraId="41F4E4FF"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Fruit Storage</w:t>
            </w:r>
          </w:p>
        </w:tc>
        <w:tc>
          <w:tcPr>
            <w:tcW w:w="0" w:type="auto"/>
            <w:noWrap/>
            <w:hideMark/>
          </w:tcPr>
          <w:p w14:paraId="3E9D4D4F" w14:textId="4048350A" w:rsidR="00AD608E" w:rsidRPr="00627DA0" w:rsidRDefault="00AD608E" w:rsidP="00AD608E">
            <w:pPr>
              <w:rPr>
                <w:rFonts w:asciiTheme="minorHAnsi" w:eastAsia="Times New Roman" w:hAnsiTheme="minorHAnsi" w:cs="Arial"/>
                <w:color w:val="000000"/>
                <w:szCs w:val="20"/>
              </w:rPr>
            </w:pPr>
            <w:r w:rsidRPr="00627DA0">
              <w:t xml:space="preserve"> 5,062 </w:t>
            </w:r>
          </w:p>
        </w:tc>
      </w:tr>
      <w:tr w:rsidR="00AD608E" w:rsidRPr="00627DA0" w14:paraId="5AC298D0" w14:textId="77777777" w:rsidTr="00AD608E">
        <w:trPr>
          <w:cnfStyle w:val="000000010000" w:firstRow="0" w:lastRow="0" w:firstColumn="0" w:lastColumn="0" w:oddVBand="0" w:evenVBand="0" w:oddHBand="0" w:evenHBand="1" w:firstRowFirstColumn="0" w:firstRowLastColumn="0" w:lastRowFirstColumn="0" w:lastRowLastColumn="0"/>
          <w:trHeight w:val="144"/>
          <w:jc w:val="center"/>
        </w:trPr>
        <w:tc>
          <w:tcPr>
            <w:tcW w:w="0" w:type="auto"/>
            <w:tcBorders>
              <w:bottom w:val="single" w:sz="4" w:space="0" w:color="auto"/>
            </w:tcBorders>
            <w:noWrap/>
            <w:hideMark/>
          </w:tcPr>
          <w:p w14:paraId="5C48FCA8" w14:textId="77777777" w:rsidR="00AD608E" w:rsidRPr="00627DA0" w:rsidRDefault="00AD608E" w:rsidP="00AD608E">
            <w:pPr>
              <w:jc w:val="left"/>
              <w:rPr>
                <w:rFonts w:asciiTheme="minorHAnsi" w:eastAsia="Times New Roman" w:hAnsiTheme="minorHAnsi" w:cs="Arial"/>
                <w:bCs/>
                <w:szCs w:val="20"/>
              </w:rPr>
            </w:pPr>
            <w:r w:rsidRPr="00627DA0">
              <w:rPr>
                <w:rFonts w:asciiTheme="minorHAnsi" w:eastAsia="Times New Roman" w:hAnsiTheme="minorHAnsi" w:cs="Arial"/>
                <w:szCs w:val="20"/>
              </w:rPr>
              <w:t>Indoor Agriculture</w:t>
            </w:r>
          </w:p>
        </w:tc>
        <w:tc>
          <w:tcPr>
            <w:tcW w:w="0" w:type="auto"/>
            <w:tcBorders>
              <w:bottom w:val="single" w:sz="4" w:space="0" w:color="auto"/>
            </w:tcBorders>
            <w:noWrap/>
            <w:hideMark/>
          </w:tcPr>
          <w:p w14:paraId="68853EAE" w14:textId="64ED73A7" w:rsidR="00AD608E" w:rsidRPr="00627DA0" w:rsidRDefault="00AD608E" w:rsidP="00AD608E">
            <w:pPr>
              <w:rPr>
                <w:rFonts w:asciiTheme="minorHAnsi" w:eastAsia="Times New Roman" w:hAnsiTheme="minorHAnsi" w:cs="Arial"/>
                <w:color w:val="000000"/>
                <w:szCs w:val="20"/>
              </w:rPr>
            </w:pPr>
            <w:r w:rsidRPr="00627DA0">
              <w:t xml:space="preserve"> 17,448 </w:t>
            </w:r>
          </w:p>
        </w:tc>
      </w:tr>
      <w:tr w:rsidR="00AD608E" w:rsidRPr="00627DA0" w14:paraId="274E26C7" w14:textId="77777777" w:rsidTr="00AD608E">
        <w:trPr>
          <w:cnfStyle w:val="000000100000" w:firstRow="0" w:lastRow="0" w:firstColumn="0" w:lastColumn="0" w:oddVBand="0" w:evenVBand="0" w:oddHBand="1" w:evenHBand="0" w:firstRowFirstColumn="0" w:firstRowLastColumn="0" w:lastRowFirstColumn="0" w:lastRowLastColumn="0"/>
          <w:trHeight w:val="144"/>
          <w:jc w:val="center"/>
        </w:trPr>
        <w:tc>
          <w:tcPr>
            <w:tcW w:w="0" w:type="auto"/>
            <w:tcBorders>
              <w:top w:val="single" w:sz="4" w:space="0" w:color="auto"/>
              <w:bottom w:val="single" w:sz="4" w:space="0" w:color="auto"/>
            </w:tcBorders>
            <w:noWrap/>
            <w:hideMark/>
          </w:tcPr>
          <w:p w14:paraId="766D4A36" w14:textId="77777777" w:rsidR="00AD608E" w:rsidRPr="00627DA0" w:rsidRDefault="00AD608E" w:rsidP="00AD608E">
            <w:pPr>
              <w:jc w:val="left"/>
              <w:rPr>
                <w:rFonts w:asciiTheme="minorHAnsi" w:eastAsia="Times New Roman" w:hAnsiTheme="minorHAnsi" w:cs="Arial"/>
                <w:b/>
                <w:szCs w:val="20"/>
              </w:rPr>
            </w:pPr>
            <w:r w:rsidRPr="00627DA0">
              <w:rPr>
                <w:rFonts w:asciiTheme="minorHAnsi" w:eastAsia="Times New Roman" w:hAnsiTheme="minorHAnsi" w:cs="Arial"/>
                <w:b/>
                <w:szCs w:val="20"/>
              </w:rPr>
              <w:t>Total</w:t>
            </w:r>
          </w:p>
        </w:tc>
        <w:tc>
          <w:tcPr>
            <w:tcW w:w="0" w:type="auto"/>
            <w:tcBorders>
              <w:top w:val="single" w:sz="4" w:space="0" w:color="auto"/>
              <w:bottom w:val="single" w:sz="4" w:space="0" w:color="auto"/>
            </w:tcBorders>
            <w:noWrap/>
            <w:hideMark/>
          </w:tcPr>
          <w:p w14:paraId="22295928" w14:textId="70CC5425" w:rsidR="00AD608E" w:rsidRPr="00627DA0" w:rsidRDefault="00AD608E" w:rsidP="00AD608E">
            <w:pPr>
              <w:rPr>
                <w:rFonts w:asciiTheme="minorHAnsi" w:eastAsia="Times New Roman" w:hAnsiTheme="minorHAnsi" w:cs="Arial"/>
                <w:b/>
                <w:bCs/>
                <w:color w:val="000000"/>
                <w:szCs w:val="20"/>
              </w:rPr>
            </w:pPr>
            <w:r w:rsidRPr="00627DA0">
              <w:rPr>
                <w:b/>
                <w:bCs/>
              </w:rPr>
              <w:t xml:space="preserve"> 54,336 </w:t>
            </w:r>
          </w:p>
        </w:tc>
      </w:tr>
    </w:tbl>
    <w:p w14:paraId="1381D0B6" w14:textId="173892A0" w:rsidR="00F14768" w:rsidRPr="00627DA0" w:rsidRDefault="00F14768" w:rsidP="00F14768">
      <w:r w:rsidRPr="00627DA0">
        <w:t xml:space="preserve"> </w:t>
      </w:r>
    </w:p>
    <w:p w14:paraId="424E9908" w14:textId="270FCDBE" w:rsidR="00F14768" w:rsidRPr="00627DA0" w:rsidRDefault="00536F9A" w:rsidP="00F14768">
      <w:pPr>
        <w:pStyle w:val="Heading2"/>
      </w:pPr>
      <w:bookmarkStart w:id="62" w:name="_Toc207870670"/>
      <w:r w:rsidRPr="00627DA0">
        <w:t xml:space="preserve">Utility </w:t>
      </w:r>
      <w:r w:rsidR="00F14768" w:rsidRPr="00627DA0">
        <w:t>Distribution System</w:t>
      </w:r>
      <w:bookmarkEnd w:id="62"/>
    </w:p>
    <w:p w14:paraId="5C51B021" w14:textId="5E4231E3" w:rsidR="00F14768" w:rsidRPr="00627DA0" w:rsidRDefault="00F14768" w:rsidP="00F14768">
      <w:r w:rsidRPr="00627DA0">
        <w:t xml:space="preserve">The 2021 Power Plan used a new approach for quantifying the potential energy savings in measures that improve the efficiency of utility distribution systems. The Council’s new approach estimated savings potential </w:t>
      </w:r>
      <w:r w:rsidR="009B0F68" w:rsidRPr="00627DA0">
        <w:t xml:space="preserve">from the 2018 sales within each sector as reported to the US </w:t>
      </w:r>
      <w:r w:rsidR="00FD602E" w:rsidRPr="00627DA0">
        <w:t>EIA</w:t>
      </w:r>
      <w:r w:rsidR="009B0F68" w:rsidRPr="00627DA0">
        <w:t xml:space="preserve"> and </w:t>
      </w:r>
      <w:r w:rsidRPr="00627DA0">
        <w:t xml:space="preserve">based </w:t>
      </w:r>
      <w:r w:rsidR="001B2B27" w:rsidRPr="00627DA0">
        <w:t xml:space="preserve">costs </w:t>
      </w:r>
      <w:r w:rsidRPr="00627DA0">
        <w:t xml:space="preserve">on the </w:t>
      </w:r>
      <w:r w:rsidR="005866D3" w:rsidRPr="00627DA0">
        <w:t xml:space="preserve">estimated </w:t>
      </w:r>
      <w:r w:rsidRPr="00627DA0">
        <w:t xml:space="preserve">number of distribution substations and feeders for each utility. </w:t>
      </w:r>
      <w:r w:rsidRPr="00627DA0">
        <w:fldChar w:fldCharType="begin"/>
      </w:r>
      <w:r w:rsidRPr="00627DA0">
        <w:instrText xml:space="preserve"> REF _Ref60664232 \h </w:instrText>
      </w:r>
      <w:r w:rsidRPr="00627DA0">
        <w:fldChar w:fldCharType="separate"/>
      </w:r>
      <w:r w:rsidR="00431297" w:rsidRPr="00627DA0">
        <w:t>Table 9</w:t>
      </w:r>
      <w:r w:rsidRPr="00627DA0">
        <w:fldChar w:fldCharType="end"/>
      </w:r>
      <w:r w:rsidRPr="00627DA0">
        <w:t xml:space="preserve"> summarizes the assumptions used for this sector. </w:t>
      </w:r>
    </w:p>
    <w:p w14:paraId="44DED53A" w14:textId="0E0FC01C" w:rsidR="00F14768" w:rsidRPr="00627DA0" w:rsidRDefault="00F14768" w:rsidP="00F14768">
      <w:pPr>
        <w:pStyle w:val="Caption"/>
      </w:pPr>
      <w:bookmarkStart w:id="63" w:name="_Ref60664232"/>
      <w:bookmarkStart w:id="64" w:name="_Toc207870738"/>
      <w:r w:rsidRPr="00627DA0">
        <w:t xml:space="preserve">Table </w:t>
      </w:r>
      <w:fldSimple w:instr=" SEQ Table \* ARABIC ">
        <w:r w:rsidR="00431297" w:rsidRPr="00627DA0">
          <w:t>9</w:t>
        </w:r>
      </w:fldSimple>
      <w:bookmarkEnd w:id="63"/>
      <w:r w:rsidRPr="00627DA0">
        <w:t>: Utility Distribution System Efficiency Assumptions</w:t>
      </w:r>
      <w:bookmarkEnd w:id="64"/>
    </w:p>
    <w:tbl>
      <w:tblPr>
        <w:tblStyle w:val="TableGrid"/>
        <w:tblW w:w="0" w:type="auto"/>
        <w:jc w:val="center"/>
        <w:tblBorders>
          <w:top w:val="single" w:sz="12" w:space="0" w:color="002C7C" w:themeColor="accent1"/>
          <w:left w:val="none" w:sz="0" w:space="0" w:color="auto"/>
          <w:bottom w:val="single" w:sz="12" w:space="0" w:color="002C7C" w:themeColor="accent1"/>
          <w:right w:val="none" w:sz="0" w:space="0" w:color="auto"/>
          <w:insideH w:val="none" w:sz="0" w:space="0" w:color="auto"/>
          <w:insideV w:val="none" w:sz="0" w:space="0" w:color="auto"/>
        </w:tblBorders>
        <w:tblLook w:val="04A0" w:firstRow="1" w:lastRow="0" w:firstColumn="1" w:lastColumn="0" w:noHBand="0" w:noVBand="1"/>
      </w:tblPr>
      <w:tblGrid>
        <w:gridCol w:w="3622"/>
        <w:gridCol w:w="2373"/>
      </w:tblGrid>
      <w:tr w:rsidR="00240A2C" w:rsidRPr="00627DA0" w14:paraId="40FCA92C" w14:textId="77777777" w:rsidTr="007A3D3F">
        <w:trPr>
          <w:trHeight w:val="266"/>
          <w:jc w:val="center"/>
        </w:trPr>
        <w:tc>
          <w:tcPr>
            <w:tcW w:w="3622" w:type="dxa"/>
            <w:tcBorders>
              <w:top w:val="single" w:sz="12" w:space="0" w:color="auto"/>
              <w:bottom w:val="single" w:sz="12" w:space="0" w:color="auto"/>
            </w:tcBorders>
            <w:shd w:val="clear" w:color="auto" w:fill="00205C" w:themeFill="accent1" w:themeFillShade="BF"/>
          </w:tcPr>
          <w:p w14:paraId="4A439223" w14:textId="77777777" w:rsidR="00240A2C" w:rsidRPr="00627DA0" w:rsidRDefault="00240A2C" w:rsidP="007A3D3F">
            <w:pPr>
              <w:rPr>
                <w:rFonts w:asciiTheme="minorHAnsi" w:hAnsiTheme="minorHAnsi"/>
                <w:b/>
                <w:bCs/>
                <w:sz w:val="20"/>
                <w:szCs w:val="20"/>
              </w:rPr>
            </w:pPr>
            <w:r w:rsidRPr="00627DA0">
              <w:rPr>
                <w:rFonts w:asciiTheme="minorHAnsi" w:hAnsiTheme="minorHAnsi"/>
              </w:rPr>
              <w:br w:type="page"/>
            </w:r>
            <w:r w:rsidRPr="00627DA0">
              <w:rPr>
                <w:rFonts w:asciiTheme="minorHAnsi" w:hAnsiTheme="minorHAnsi"/>
                <w:b/>
                <w:bCs/>
                <w:sz w:val="20"/>
                <w:szCs w:val="20"/>
              </w:rPr>
              <w:t>Characteristic</w:t>
            </w:r>
          </w:p>
        </w:tc>
        <w:tc>
          <w:tcPr>
            <w:tcW w:w="2373" w:type="dxa"/>
            <w:tcBorders>
              <w:top w:val="single" w:sz="12" w:space="0" w:color="auto"/>
              <w:bottom w:val="single" w:sz="12" w:space="0" w:color="auto"/>
            </w:tcBorders>
            <w:shd w:val="clear" w:color="auto" w:fill="00205C" w:themeFill="accent1" w:themeFillShade="BF"/>
          </w:tcPr>
          <w:p w14:paraId="1D4A2867" w14:textId="77777777" w:rsidR="00240A2C" w:rsidRPr="00627DA0" w:rsidRDefault="00240A2C" w:rsidP="007A3D3F">
            <w:pPr>
              <w:jc w:val="right"/>
              <w:rPr>
                <w:rFonts w:asciiTheme="minorHAnsi" w:hAnsiTheme="minorHAnsi"/>
                <w:b/>
                <w:bCs/>
                <w:sz w:val="20"/>
                <w:szCs w:val="20"/>
              </w:rPr>
            </w:pPr>
            <w:r w:rsidRPr="00627DA0">
              <w:rPr>
                <w:rFonts w:asciiTheme="minorHAnsi" w:hAnsiTheme="minorHAnsi"/>
                <w:b/>
                <w:bCs/>
                <w:sz w:val="20"/>
                <w:szCs w:val="20"/>
              </w:rPr>
              <w:t>Count</w:t>
            </w:r>
          </w:p>
        </w:tc>
      </w:tr>
      <w:tr w:rsidR="00013F40" w:rsidRPr="00627DA0" w14:paraId="4B834569" w14:textId="77777777" w:rsidTr="007A3D3F">
        <w:trPr>
          <w:trHeight w:val="281"/>
          <w:jc w:val="center"/>
        </w:trPr>
        <w:tc>
          <w:tcPr>
            <w:tcW w:w="3622" w:type="dxa"/>
            <w:tcBorders>
              <w:top w:val="single" w:sz="12" w:space="0" w:color="auto"/>
            </w:tcBorders>
            <w:vAlign w:val="center"/>
          </w:tcPr>
          <w:p w14:paraId="37F2C7D7" w14:textId="3DE3E0E0" w:rsidR="00013F40" w:rsidRPr="00627DA0" w:rsidRDefault="00013F40" w:rsidP="00013F40">
            <w:pPr>
              <w:rPr>
                <w:rFonts w:asciiTheme="minorHAnsi" w:hAnsiTheme="minorHAnsi"/>
                <w:sz w:val="20"/>
                <w:szCs w:val="20"/>
              </w:rPr>
            </w:pPr>
            <w:r w:rsidRPr="00627DA0">
              <w:rPr>
                <w:rFonts w:asciiTheme="minorHAnsi" w:hAnsiTheme="minorHAnsi" w:cs="Arial"/>
                <w:sz w:val="20"/>
                <w:szCs w:val="20"/>
              </w:rPr>
              <w:t>Distribution Substations</w:t>
            </w:r>
          </w:p>
        </w:tc>
        <w:tc>
          <w:tcPr>
            <w:tcW w:w="2373" w:type="dxa"/>
            <w:tcBorders>
              <w:top w:val="single" w:sz="12" w:space="0" w:color="auto"/>
            </w:tcBorders>
            <w:vAlign w:val="center"/>
          </w:tcPr>
          <w:p w14:paraId="77E94830" w14:textId="25F2DBE0" w:rsidR="00013F40" w:rsidRPr="00627DA0" w:rsidRDefault="006B6E53" w:rsidP="00013F40">
            <w:pPr>
              <w:jc w:val="right"/>
              <w:rPr>
                <w:rFonts w:asciiTheme="minorHAnsi" w:hAnsiTheme="minorHAnsi"/>
                <w:sz w:val="20"/>
                <w:szCs w:val="20"/>
              </w:rPr>
            </w:pPr>
            <w:r w:rsidRPr="00627DA0">
              <w:rPr>
                <w:sz w:val="20"/>
                <w:szCs w:val="20"/>
              </w:rPr>
              <w:t>1</w:t>
            </w:r>
            <w:r w:rsidR="002736B5" w:rsidRPr="00627DA0">
              <w:rPr>
                <w:sz w:val="20"/>
                <w:szCs w:val="20"/>
              </w:rPr>
              <w:t>7</w:t>
            </w:r>
          </w:p>
        </w:tc>
      </w:tr>
      <w:tr w:rsidR="00013F40" w:rsidRPr="00627DA0" w14:paraId="73BBEEF2" w14:textId="77777777" w:rsidTr="007A3D3F">
        <w:trPr>
          <w:trHeight w:val="266"/>
          <w:jc w:val="center"/>
        </w:trPr>
        <w:tc>
          <w:tcPr>
            <w:tcW w:w="3622" w:type="dxa"/>
            <w:tcBorders>
              <w:bottom w:val="nil"/>
            </w:tcBorders>
            <w:shd w:val="clear" w:color="auto" w:fill="F2F2F2" w:themeFill="background1" w:themeFillShade="F2"/>
            <w:vAlign w:val="center"/>
          </w:tcPr>
          <w:p w14:paraId="060A9D3F" w14:textId="3B9C0849" w:rsidR="00013F40" w:rsidRPr="00627DA0" w:rsidRDefault="00156DF7" w:rsidP="00156DF7">
            <w:pPr>
              <w:jc w:val="left"/>
              <w:rPr>
                <w:rFonts w:asciiTheme="minorHAnsi" w:hAnsiTheme="minorHAnsi"/>
                <w:sz w:val="20"/>
                <w:szCs w:val="20"/>
              </w:rPr>
            </w:pPr>
            <w:r w:rsidRPr="00627DA0">
              <w:rPr>
                <w:rFonts w:asciiTheme="minorHAnsi" w:hAnsiTheme="minorHAnsi" w:cs="Arial"/>
                <w:sz w:val="20"/>
                <w:szCs w:val="20"/>
              </w:rPr>
              <w:t>R</w:t>
            </w:r>
            <w:r w:rsidR="00013F40" w:rsidRPr="00627DA0">
              <w:rPr>
                <w:rFonts w:asciiTheme="minorHAnsi" w:hAnsiTheme="minorHAnsi" w:cs="Arial"/>
                <w:sz w:val="20"/>
                <w:szCs w:val="20"/>
              </w:rPr>
              <w:t>esidential/Commercial Substations</w:t>
            </w:r>
          </w:p>
        </w:tc>
        <w:tc>
          <w:tcPr>
            <w:tcW w:w="2373" w:type="dxa"/>
            <w:tcBorders>
              <w:bottom w:val="nil"/>
            </w:tcBorders>
            <w:shd w:val="clear" w:color="auto" w:fill="F2F2F2" w:themeFill="background1" w:themeFillShade="F2"/>
            <w:vAlign w:val="center"/>
          </w:tcPr>
          <w:p w14:paraId="603F3408" w14:textId="6B1F3960" w:rsidR="00013F40" w:rsidRPr="00627DA0" w:rsidRDefault="00237CC7" w:rsidP="00013F40">
            <w:pPr>
              <w:jc w:val="right"/>
              <w:rPr>
                <w:rFonts w:asciiTheme="minorHAnsi" w:hAnsiTheme="minorHAnsi"/>
                <w:sz w:val="20"/>
                <w:szCs w:val="20"/>
              </w:rPr>
            </w:pPr>
            <w:r w:rsidRPr="00627DA0">
              <w:rPr>
                <w:sz w:val="20"/>
                <w:szCs w:val="20"/>
              </w:rPr>
              <w:t>15</w:t>
            </w:r>
          </w:p>
        </w:tc>
      </w:tr>
      <w:tr w:rsidR="00013F40" w:rsidRPr="00627DA0" w14:paraId="7F396234" w14:textId="77777777" w:rsidTr="007A3D3F">
        <w:trPr>
          <w:trHeight w:val="266"/>
          <w:jc w:val="center"/>
        </w:trPr>
        <w:tc>
          <w:tcPr>
            <w:tcW w:w="3622" w:type="dxa"/>
            <w:tcBorders>
              <w:top w:val="nil"/>
              <w:bottom w:val="nil"/>
            </w:tcBorders>
            <w:vAlign w:val="center"/>
          </w:tcPr>
          <w:p w14:paraId="0BCAA42A" w14:textId="62BEBAB9" w:rsidR="00013F40" w:rsidRPr="00627DA0" w:rsidRDefault="00013F40" w:rsidP="00013F40">
            <w:pPr>
              <w:rPr>
                <w:rFonts w:asciiTheme="minorHAnsi" w:hAnsiTheme="minorHAnsi"/>
                <w:sz w:val="20"/>
                <w:szCs w:val="20"/>
              </w:rPr>
            </w:pPr>
            <w:r w:rsidRPr="00627DA0">
              <w:rPr>
                <w:rFonts w:asciiTheme="minorHAnsi" w:hAnsiTheme="minorHAnsi" w:cs="Arial"/>
                <w:sz w:val="20"/>
                <w:szCs w:val="20"/>
              </w:rPr>
              <w:t>Urban Feeders</w:t>
            </w:r>
          </w:p>
        </w:tc>
        <w:tc>
          <w:tcPr>
            <w:tcW w:w="2373" w:type="dxa"/>
            <w:tcBorders>
              <w:top w:val="nil"/>
              <w:bottom w:val="nil"/>
            </w:tcBorders>
            <w:vAlign w:val="center"/>
          </w:tcPr>
          <w:p w14:paraId="7808A89C" w14:textId="57ECC5E1" w:rsidR="00013F40" w:rsidRPr="00627DA0" w:rsidRDefault="00237CC7" w:rsidP="00013F40">
            <w:pPr>
              <w:jc w:val="right"/>
              <w:rPr>
                <w:rFonts w:asciiTheme="minorHAnsi" w:hAnsiTheme="minorHAnsi"/>
                <w:sz w:val="20"/>
                <w:szCs w:val="20"/>
              </w:rPr>
            </w:pPr>
            <w:r w:rsidRPr="00627DA0">
              <w:rPr>
                <w:sz w:val="20"/>
                <w:szCs w:val="20"/>
              </w:rPr>
              <w:t>22</w:t>
            </w:r>
          </w:p>
        </w:tc>
      </w:tr>
      <w:tr w:rsidR="00013F40" w:rsidRPr="00627DA0" w14:paraId="53E31994" w14:textId="77777777" w:rsidTr="007A3D3F">
        <w:trPr>
          <w:trHeight w:val="266"/>
          <w:jc w:val="center"/>
        </w:trPr>
        <w:tc>
          <w:tcPr>
            <w:tcW w:w="3622" w:type="dxa"/>
            <w:tcBorders>
              <w:top w:val="nil"/>
              <w:bottom w:val="nil"/>
            </w:tcBorders>
            <w:shd w:val="clear" w:color="auto" w:fill="F2F2F2" w:themeFill="background1" w:themeFillShade="F2"/>
            <w:vAlign w:val="center"/>
          </w:tcPr>
          <w:p w14:paraId="577956B5" w14:textId="25B3CA80" w:rsidR="00013F40" w:rsidRPr="00627DA0" w:rsidRDefault="00013F40" w:rsidP="00013F40">
            <w:pPr>
              <w:rPr>
                <w:rFonts w:asciiTheme="minorHAnsi" w:hAnsiTheme="minorHAnsi" w:cs="Arial"/>
                <w:sz w:val="20"/>
                <w:szCs w:val="20"/>
              </w:rPr>
            </w:pPr>
            <w:r w:rsidRPr="00627DA0">
              <w:rPr>
                <w:rFonts w:asciiTheme="minorHAnsi" w:hAnsiTheme="minorHAnsi" w:cs="Arial"/>
                <w:sz w:val="20"/>
                <w:szCs w:val="20"/>
              </w:rPr>
              <w:t>Rural Feeders</w:t>
            </w:r>
          </w:p>
        </w:tc>
        <w:tc>
          <w:tcPr>
            <w:tcW w:w="2373" w:type="dxa"/>
            <w:tcBorders>
              <w:top w:val="nil"/>
              <w:bottom w:val="nil"/>
            </w:tcBorders>
            <w:shd w:val="clear" w:color="auto" w:fill="F2F2F2" w:themeFill="background1" w:themeFillShade="F2"/>
            <w:vAlign w:val="center"/>
          </w:tcPr>
          <w:p w14:paraId="6500344B" w14:textId="06C32213" w:rsidR="00013F40" w:rsidRPr="00627DA0" w:rsidRDefault="00237CC7" w:rsidP="00013F40">
            <w:pPr>
              <w:jc w:val="right"/>
              <w:rPr>
                <w:rFonts w:asciiTheme="minorHAnsi" w:hAnsiTheme="minorHAnsi"/>
                <w:sz w:val="20"/>
                <w:szCs w:val="20"/>
              </w:rPr>
            </w:pPr>
            <w:r w:rsidRPr="00627DA0">
              <w:rPr>
                <w:sz w:val="20"/>
                <w:szCs w:val="20"/>
              </w:rPr>
              <w:t>12</w:t>
            </w:r>
          </w:p>
        </w:tc>
      </w:tr>
      <w:tr w:rsidR="00013F40" w:rsidRPr="00627DA0" w14:paraId="073AD58F" w14:textId="77777777" w:rsidTr="007A3D3F">
        <w:trPr>
          <w:trHeight w:val="266"/>
          <w:jc w:val="center"/>
        </w:trPr>
        <w:tc>
          <w:tcPr>
            <w:tcW w:w="3622" w:type="dxa"/>
            <w:tcBorders>
              <w:top w:val="nil"/>
              <w:bottom w:val="nil"/>
            </w:tcBorders>
            <w:vAlign w:val="center"/>
          </w:tcPr>
          <w:p w14:paraId="4A593807" w14:textId="77777777" w:rsidR="00013F40" w:rsidRPr="00627DA0" w:rsidRDefault="00013F40" w:rsidP="00013F40">
            <w:pPr>
              <w:rPr>
                <w:rFonts w:asciiTheme="minorHAnsi" w:hAnsiTheme="minorHAnsi" w:cs="Arial"/>
                <w:sz w:val="20"/>
                <w:szCs w:val="20"/>
              </w:rPr>
            </w:pPr>
            <w:r w:rsidRPr="00627DA0">
              <w:rPr>
                <w:rFonts w:asciiTheme="minorHAnsi" w:hAnsiTheme="minorHAnsi" w:cs="Arial"/>
                <w:sz w:val="20"/>
                <w:szCs w:val="20"/>
              </w:rPr>
              <w:t>2018 Residential Sales (MWh)</w:t>
            </w:r>
          </w:p>
        </w:tc>
        <w:tc>
          <w:tcPr>
            <w:tcW w:w="2373" w:type="dxa"/>
            <w:tcBorders>
              <w:top w:val="nil"/>
              <w:bottom w:val="nil"/>
            </w:tcBorders>
            <w:vAlign w:val="center"/>
          </w:tcPr>
          <w:p w14:paraId="5BC748A5" w14:textId="17F02A60" w:rsidR="00013F40" w:rsidRPr="00627DA0" w:rsidRDefault="00237CC7" w:rsidP="00013F40">
            <w:pPr>
              <w:jc w:val="right"/>
              <w:rPr>
                <w:rFonts w:asciiTheme="minorHAnsi" w:hAnsiTheme="minorHAnsi"/>
                <w:sz w:val="20"/>
                <w:szCs w:val="20"/>
              </w:rPr>
            </w:pPr>
            <w:r w:rsidRPr="00627DA0">
              <w:rPr>
                <w:sz w:val="20"/>
                <w:szCs w:val="20"/>
              </w:rPr>
              <w:t>656,947</w:t>
            </w:r>
          </w:p>
        </w:tc>
      </w:tr>
      <w:tr w:rsidR="00013F40" w:rsidRPr="00627DA0" w14:paraId="716AEC55" w14:textId="77777777" w:rsidTr="007A3D3F">
        <w:trPr>
          <w:trHeight w:val="266"/>
          <w:jc w:val="center"/>
        </w:trPr>
        <w:tc>
          <w:tcPr>
            <w:tcW w:w="3622" w:type="dxa"/>
            <w:tcBorders>
              <w:top w:val="nil"/>
              <w:bottom w:val="nil"/>
            </w:tcBorders>
            <w:shd w:val="clear" w:color="auto" w:fill="F2F2F2" w:themeFill="background1" w:themeFillShade="F2"/>
            <w:vAlign w:val="center"/>
          </w:tcPr>
          <w:p w14:paraId="771F8CD6" w14:textId="77777777" w:rsidR="00013F40" w:rsidRPr="00627DA0" w:rsidRDefault="00013F40" w:rsidP="00013F40">
            <w:pPr>
              <w:rPr>
                <w:rFonts w:asciiTheme="minorHAnsi" w:hAnsiTheme="minorHAnsi" w:cs="Arial"/>
                <w:sz w:val="20"/>
                <w:szCs w:val="20"/>
              </w:rPr>
            </w:pPr>
            <w:r w:rsidRPr="00627DA0">
              <w:rPr>
                <w:rFonts w:asciiTheme="minorHAnsi" w:hAnsiTheme="minorHAnsi" w:cs="Arial"/>
                <w:sz w:val="20"/>
                <w:szCs w:val="20"/>
              </w:rPr>
              <w:t>2018 Commercial Sales (MWh)</w:t>
            </w:r>
          </w:p>
        </w:tc>
        <w:tc>
          <w:tcPr>
            <w:tcW w:w="2373" w:type="dxa"/>
            <w:tcBorders>
              <w:top w:val="nil"/>
              <w:bottom w:val="nil"/>
            </w:tcBorders>
            <w:shd w:val="clear" w:color="auto" w:fill="F2F2F2" w:themeFill="background1" w:themeFillShade="F2"/>
            <w:vAlign w:val="center"/>
          </w:tcPr>
          <w:p w14:paraId="106AEF4C" w14:textId="462B3AA3" w:rsidR="00013F40" w:rsidRPr="00627DA0" w:rsidRDefault="009F6E3E" w:rsidP="00013F40">
            <w:pPr>
              <w:jc w:val="right"/>
              <w:rPr>
                <w:rFonts w:asciiTheme="minorHAnsi" w:hAnsiTheme="minorHAnsi"/>
                <w:sz w:val="20"/>
                <w:szCs w:val="20"/>
              </w:rPr>
            </w:pPr>
            <w:r w:rsidRPr="00627DA0">
              <w:rPr>
                <w:sz w:val="20"/>
                <w:szCs w:val="20"/>
              </w:rPr>
              <w:t>167,846</w:t>
            </w:r>
          </w:p>
        </w:tc>
      </w:tr>
      <w:tr w:rsidR="00013F40" w:rsidRPr="00627DA0" w14:paraId="6F38641C" w14:textId="77777777" w:rsidTr="007A3D3F">
        <w:trPr>
          <w:trHeight w:val="266"/>
          <w:jc w:val="center"/>
        </w:trPr>
        <w:tc>
          <w:tcPr>
            <w:tcW w:w="3622" w:type="dxa"/>
            <w:tcBorders>
              <w:top w:val="nil"/>
              <w:bottom w:val="single" w:sz="12" w:space="0" w:color="auto"/>
            </w:tcBorders>
            <w:vAlign w:val="center"/>
          </w:tcPr>
          <w:p w14:paraId="2DF95BC9" w14:textId="77777777" w:rsidR="00013F40" w:rsidRPr="00627DA0" w:rsidRDefault="00013F40" w:rsidP="00013F40">
            <w:pPr>
              <w:rPr>
                <w:rFonts w:asciiTheme="minorHAnsi" w:hAnsiTheme="minorHAnsi" w:cs="Arial"/>
                <w:sz w:val="20"/>
                <w:szCs w:val="20"/>
              </w:rPr>
            </w:pPr>
            <w:r w:rsidRPr="00627DA0">
              <w:rPr>
                <w:rFonts w:asciiTheme="minorHAnsi" w:hAnsiTheme="minorHAnsi" w:cs="Arial"/>
                <w:sz w:val="20"/>
                <w:szCs w:val="20"/>
              </w:rPr>
              <w:t>2018 Industrial/Other Sales (MWh)</w:t>
            </w:r>
          </w:p>
        </w:tc>
        <w:tc>
          <w:tcPr>
            <w:tcW w:w="2373" w:type="dxa"/>
            <w:tcBorders>
              <w:top w:val="nil"/>
              <w:bottom w:val="single" w:sz="12" w:space="0" w:color="auto"/>
            </w:tcBorders>
            <w:vAlign w:val="center"/>
          </w:tcPr>
          <w:p w14:paraId="5242FEDE" w14:textId="7C8330A6" w:rsidR="00013F40" w:rsidRPr="00627DA0" w:rsidRDefault="009F6E3E" w:rsidP="00013F40">
            <w:pPr>
              <w:jc w:val="right"/>
              <w:rPr>
                <w:rFonts w:asciiTheme="minorHAnsi" w:hAnsiTheme="minorHAnsi"/>
                <w:sz w:val="20"/>
                <w:szCs w:val="20"/>
              </w:rPr>
            </w:pPr>
            <w:r w:rsidRPr="00627DA0">
              <w:rPr>
                <w:sz w:val="20"/>
                <w:szCs w:val="20"/>
              </w:rPr>
              <w:t>90,710</w:t>
            </w:r>
          </w:p>
        </w:tc>
      </w:tr>
    </w:tbl>
    <w:p w14:paraId="2C12A6B6" w14:textId="59963C67" w:rsidR="00BD42FD" w:rsidRPr="00627DA0" w:rsidRDefault="00BD42FD" w:rsidP="00BD42FD">
      <w:pPr>
        <w:jc w:val="center"/>
        <w:rPr>
          <w:i/>
          <w:iCs/>
          <w:sz w:val="20"/>
          <w:szCs w:val="20"/>
        </w:rPr>
      </w:pPr>
      <w:r w:rsidRPr="00627DA0">
        <w:rPr>
          <w:i/>
          <w:iCs/>
          <w:sz w:val="20"/>
          <w:szCs w:val="20"/>
        </w:rPr>
        <w:t xml:space="preserve">*Note that these are estimates from the Council and may not reflect </w:t>
      </w:r>
      <w:r w:rsidR="0032364D" w:rsidRPr="00627DA0">
        <w:rPr>
          <w:i/>
          <w:iCs/>
          <w:sz w:val="20"/>
          <w:szCs w:val="20"/>
        </w:rPr>
        <w:t>Inland Power</w:t>
      </w:r>
      <w:r w:rsidRPr="00627DA0">
        <w:rPr>
          <w:i/>
          <w:iCs/>
          <w:sz w:val="20"/>
          <w:szCs w:val="20"/>
        </w:rPr>
        <w:t>’s actual system</w:t>
      </w:r>
    </w:p>
    <w:p w14:paraId="3A766899" w14:textId="21742C84" w:rsidR="00416A1C" w:rsidRPr="00627DA0" w:rsidRDefault="00D025E8" w:rsidP="00D025E8">
      <w:pPr>
        <w:pStyle w:val="Heading1"/>
      </w:pPr>
      <w:bookmarkStart w:id="65" w:name="_Toc207870671"/>
      <w:r w:rsidRPr="00627DA0">
        <w:lastRenderedPageBreak/>
        <w:t>Recent Conservation Achievement</w:t>
      </w:r>
      <w:bookmarkEnd w:id="65"/>
    </w:p>
    <w:p w14:paraId="104F9944" w14:textId="6D0E5833" w:rsidR="00BA2BE1" w:rsidRPr="00627DA0" w:rsidRDefault="0032364D" w:rsidP="000600E5">
      <w:r w:rsidRPr="00627DA0">
        <w:t>Inland Power</w:t>
      </w:r>
      <w:r w:rsidR="00D025E8" w:rsidRPr="00627DA0">
        <w:t xml:space="preserve"> </w:t>
      </w:r>
      <w:r w:rsidR="003E2AE4" w:rsidRPr="00627DA0">
        <w:t>has</w:t>
      </w:r>
      <w:r w:rsidR="00FE1F08" w:rsidRPr="00627DA0">
        <w:t xml:space="preserve"> a long history of</w:t>
      </w:r>
      <w:r w:rsidR="00D025E8" w:rsidRPr="00627DA0">
        <w:t xml:space="preserve"> energy efficiency </w:t>
      </w:r>
      <w:r w:rsidR="00FE1F08" w:rsidRPr="00627DA0">
        <w:t>achievement</w:t>
      </w:r>
      <w:r w:rsidR="0038241C" w:rsidRPr="00627DA0">
        <w:t xml:space="preserve"> </w:t>
      </w:r>
      <w:r w:rsidR="00F41EAB" w:rsidRPr="00627DA0">
        <w:t>and</w:t>
      </w:r>
      <w:r w:rsidR="00B1765D" w:rsidRPr="00627DA0">
        <w:t>,</w:t>
      </w:r>
      <w:r w:rsidR="00F41EAB" w:rsidRPr="00627DA0">
        <w:t xml:space="preserve"> according to the </w:t>
      </w:r>
      <w:r w:rsidR="00B1765D" w:rsidRPr="00627DA0">
        <w:t>RT</w:t>
      </w:r>
      <w:r w:rsidR="00BD336A" w:rsidRPr="00627DA0">
        <w:t>F</w:t>
      </w:r>
      <w:r w:rsidR="00F41EAB" w:rsidRPr="00627DA0">
        <w:t xml:space="preserve">’s Regional Conservation Progress Report, has achieved </w:t>
      </w:r>
      <w:r w:rsidR="00721D57" w:rsidRPr="00627DA0">
        <w:t xml:space="preserve">annual </w:t>
      </w:r>
      <w:r w:rsidR="00F41EAB" w:rsidRPr="00627DA0">
        <w:t xml:space="preserve">savings equal to </w:t>
      </w:r>
      <w:r w:rsidR="00591F3A" w:rsidRPr="00627DA0">
        <w:t>0.</w:t>
      </w:r>
      <w:r w:rsidR="0044752E" w:rsidRPr="00627DA0">
        <w:t>6</w:t>
      </w:r>
      <w:r w:rsidR="00591F3A" w:rsidRPr="00627DA0">
        <w:t>% of its retail sales</w:t>
      </w:r>
      <w:r w:rsidR="00D26707" w:rsidRPr="00627DA0">
        <w:t xml:space="preserve"> on average over the 2016-202</w:t>
      </w:r>
      <w:r w:rsidR="00B03E5C" w:rsidRPr="00627DA0">
        <w:t>3</w:t>
      </w:r>
      <w:r w:rsidR="00D26707" w:rsidRPr="00627DA0">
        <w:t xml:space="preserve"> timeframe</w:t>
      </w:r>
      <w:r w:rsidR="00591F3A" w:rsidRPr="00627DA0">
        <w:t xml:space="preserve">. </w:t>
      </w:r>
    </w:p>
    <w:p w14:paraId="6B5C3C8A" w14:textId="2D3FAEB8" w:rsidR="00815DBD" w:rsidRPr="00627DA0" w:rsidRDefault="0032364D" w:rsidP="000600E5">
      <w:r w:rsidRPr="00627DA0">
        <w:t>Inland Power</w:t>
      </w:r>
      <w:r w:rsidR="003F57EA" w:rsidRPr="00627DA0">
        <w:t xml:space="preserve"> </w:t>
      </w:r>
      <w:r w:rsidR="002465DB" w:rsidRPr="00627DA0">
        <w:t xml:space="preserve">currently offers programs for its residential, commercial, </w:t>
      </w:r>
      <w:r w:rsidR="00233BB2" w:rsidRPr="00627DA0">
        <w:t xml:space="preserve">industrial, and agricultural </w:t>
      </w:r>
      <w:r w:rsidR="002465DB" w:rsidRPr="00627DA0">
        <w:t>customers.</w:t>
      </w:r>
      <w:r w:rsidR="00FB3466" w:rsidRPr="00627DA0">
        <w:t xml:space="preserve"> In addition to these programs, </w:t>
      </w:r>
      <w:r w:rsidRPr="00627DA0">
        <w:t>Inland Power</w:t>
      </w:r>
      <w:r w:rsidR="000D611F" w:rsidRPr="00627DA0">
        <w:t xml:space="preserve"> </w:t>
      </w:r>
      <w:r w:rsidR="00E94897" w:rsidRPr="00627DA0">
        <w:t xml:space="preserve">receives credit for the </w:t>
      </w:r>
      <w:r w:rsidR="000D611F" w:rsidRPr="00627DA0">
        <w:t xml:space="preserve">market transformation initiatives of NEEA </w:t>
      </w:r>
      <w:r w:rsidR="0000578A" w:rsidRPr="00627DA0">
        <w:t xml:space="preserve">that accrue </w:t>
      </w:r>
      <w:r w:rsidR="007B485F" w:rsidRPr="00627DA0">
        <w:t>with</w:t>
      </w:r>
      <w:r w:rsidR="0000578A" w:rsidRPr="00627DA0">
        <w:t>in its service territory.</w:t>
      </w:r>
      <w:r w:rsidR="0039623E" w:rsidRPr="00627DA0">
        <w:t xml:space="preserve"> NEEA’s work </w:t>
      </w:r>
      <w:r w:rsidR="004C6B20" w:rsidRPr="00627DA0">
        <w:t xml:space="preserve">has </w:t>
      </w:r>
      <w:r w:rsidR="0039623E" w:rsidRPr="00627DA0">
        <w:t>help</w:t>
      </w:r>
      <w:r w:rsidR="004C6B20" w:rsidRPr="00627DA0">
        <w:t>ed to</w:t>
      </w:r>
      <w:r w:rsidR="0039623E" w:rsidRPr="00627DA0">
        <w:t xml:space="preserve"> bring energy efficient emerging technologies</w:t>
      </w:r>
      <w:r w:rsidR="00B1765D" w:rsidRPr="00627DA0">
        <w:t>,</w:t>
      </w:r>
      <w:r w:rsidR="0039623E" w:rsidRPr="00627DA0">
        <w:t xml:space="preserve"> like </w:t>
      </w:r>
      <w:r w:rsidR="004C6B20" w:rsidRPr="00627DA0">
        <w:t>ductless heat pumps and heat pump water heaters</w:t>
      </w:r>
      <w:r w:rsidR="00B1765D" w:rsidRPr="00627DA0">
        <w:t>,</w:t>
      </w:r>
      <w:r w:rsidR="004C6B20" w:rsidRPr="00627DA0">
        <w:t xml:space="preserve"> to the Northwest.</w:t>
      </w:r>
    </w:p>
    <w:p w14:paraId="7A1D8354" w14:textId="211AB9C1" w:rsidR="001C3289" w:rsidRPr="00627DA0" w:rsidRDefault="001C3289" w:rsidP="001C3289">
      <w:pPr>
        <w:pStyle w:val="Heading2"/>
      </w:pPr>
      <w:bookmarkStart w:id="66" w:name="_Toc207870672"/>
      <w:r w:rsidRPr="00627DA0">
        <w:t>Overall</w:t>
      </w:r>
      <w:bookmarkEnd w:id="66"/>
    </w:p>
    <w:p w14:paraId="675D9144" w14:textId="7E1C9786" w:rsidR="0000578A" w:rsidRPr="00627DA0" w:rsidRDefault="00B1765D" w:rsidP="000600E5">
      <w:r w:rsidRPr="00627DA0">
        <w:fldChar w:fldCharType="begin"/>
      </w:r>
      <w:r w:rsidRPr="00627DA0">
        <w:instrText xml:space="preserve"> REF _Ref48637066 \h </w:instrText>
      </w:r>
      <w:r w:rsidRPr="00627DA0">
        <w:fldChar w:fldCharType="separate"/>
      </w:r>
      <w:r w:rsidR="00431297" w:rsidRPr="00627DA0">
        <w:t>Figure 8</w:t>
      </w:r>
      <w:r w:rsidRPr="00627DA0">
        <w:fldChar w:fldCharType="end"/>
      </w:r>
      <w:r w:rsidR="00CE62F4" w:rsidRPr="00627DA0">
        <w:t xml:space="preserve"> summarizes </w:t>
      </w:r>
      <w:r w:rsidR="0032364D" w:rsidRPr="00627DA0">
        <w:t>Inland Power</w:t>
      </w:r>
      <w:r w:rsidR="006844F7" w:rsidRPr="00627DA0">
        <w:t xml:space="preserve">’s </w:t>
      </w:r>
      <w:r w:rsidR="000117D8" w:rsidRPr="00627DA0">
        <w:t>2012-202</w:t>
      </w:r>
      <w:r w:rsidR="00005516" w:rsidRPr="00627DA0">
        <w:t>3</w:t>
      </w:r>
      <w:r w:rsidR="000117D8" w:rsidRPr="00627DA0">
        <w:t xml:space="preserve"> </w:t>
      </w:r>
      <w:r w:rsidR="006844F7" w:rsidRPr="00627DA0">
        <w:t>conservation achievement by sector</w:t>
      </w:r>
      <w:r w:rsidR="008A310B" w:rsidRPr="00627DA0">
        <w:t xml:space="preserve"> as well as the savings attributed to NEEA</w:t>
      </w:r>
      <w:r w:rsidR="000E6573" w:rsidRPr="00627DA0">
        <w:t>, as reported</w:t>
      </w:r>
      <w:r w:rsidR="00AB2769" w:rsidRPr="00627DA0">
        <w:t xml:space="preserve"> </w:t>
      </w:r>
      <w:r w:rsidR="00F85B9D" w:rsidRPr="00627DA0">
        <w:t>under Washington’s EIA.</w:t>
      </w:r>
    </w:p>
    <w:p w14:paraId="57EFFE82" w14:textId="0286828B" w:rsidR="00CE7EC0" w:rsidRPr="00627DA0" w:rsidRDefault="00AB6224" w:rsidP="006844F7">
      <w:pPr>
        <w:pStyle w:val="Caption"/>
      </w:pPr>
      <w:bookmarkStart w:id="67" w:name="_Ref48637066"/>
      <w:bookmarkStart w:id="68" w:name="_Toc207870707"/>
      <w:r w:rsidRPr="00627DA0">
        <w:t xml:space="preserve">Figure </w:t>
      </w:r>
      <w:fldSimple w:instr=" SEQ Figure \* ARABIC ">
        <w:r w:rsidR="00431297" w:rsidRPr="00627DA0">
          <w:t>8</w:t>
        </w:r>
      </w:fldSimple>
      <w:bookmarkEnd w:id="67"/>
      <w:r w:rsidRPr="00627DA0">
        <w:t xml:space="preserve">: </w:t>
      </w:r>
      <w:r w:rsidR="00E80447" w:rsidRPr="00627DA0">
        <w:t xml:space="preserve">Past </w:t>
      </w:r>
      <w:r w:rsidRPr="00627DA0">
        <w:t>Conservation Achievements by Sector</w:t>
      </w:r>
      <w:r w:rsidR="00E80447" w:rsidRPr="00627DA0">
        <w:t xml:space="preserve"> (MW</w:t>
      </w:r>
      <w:r w:rsidR="00F969C6" w:rsidRPr="00627DA0">
        <w:t>h</w:t>
      </w:r>
      <w:r w:rsidR="00CE7EC0" w:rsidRPr="00627DA0">
        <w:t>)</w:t>
      </w:r>
      <w:bookmarkEnd w:id="68"/>
    </w:p>
    <w:p w14:paraId="1A0CD32B" w14:textId="13F4F030" w:rsidR="00815DBD" w:rsidRPr="00627DA0" w:rsidRDefault="00F33D5C" w:rsidP="006844F7">
      <w:pPr>
        <w:pStyle w:val="Caption"/>
      </w:pPr>
      <w:r w:rsidRPr="00627DA0">
        <w:drawing>
          <wp:inline distT="0" distB="0" distL="0" distR="0" wp14:anchorId="126DA90D" wp14:editId="6D1E99D4">
            <wp:extent cx="5948680" cy="2287954"/>
            <wp:effectExtent l="0" t="0" r="0" b="0"/>
            <wp:docPr id="2018234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34844"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226420AF" w14:textId="66CA07F6" w:rsidR="00331BA0" w:rsidRPr="00627DA0" w:rsidRDefault="0087792C" w:rsidP="00331BA0">
      <w:r w:rsidRPr="00627DA0">
        <w:t>The</w:t>
      </w:r>
      <w:r w:rsidR="00DF5C84" w:rsidRPr="00627DA0">
        <w:t xml:space="preserve"> </w:t>
      </w:r>
      <w:r w:rsidR="003E7B66" w:rsidRPr="00627DA0">
        <w:t xml:space="preserve">average </w:t>
      </w:r>
      <w:r w:rsidR="00BA0725" w:rsidRPr="00627DA0">
        <w:t xml:space="preserve">annual </w:t>
      </w:r>
      <w:r w:rsidR="00DF5C84" w:rsidRPr="00627DA0">
        <w:t xml:space="preserve">savings over this </w:t>
      </w:r>
      <w:r w:rsidR="003E7B66" w:rsidRPr="00627DA0">
        <w:t>1</w:t>
      </w:r>
      <w:r w:rsidR="00005516" w:rsidRPr="00627DA0">
        <w:t>2</w:t>
      </w:r>
      <w:r w:rsidR="00B3640E" w:rsidRPr="00627DA0">
        <w:t xml:space="preserve">-year </w:t>
      </w:r>
      <w:r w:rsidR="00DF5C84" w:rsidRPr="00627DA0">
        <w:t xml:space="preserve">period </w:t>
      </w:r>
      <w:r w:rsidR="007B3A03" w:rsidRPr="00627DA0">
        <w:t xml:space="preserve">is </w:t>
      </w:r>
      <w:r w:rsidR="001A30BE" w:rsidRPr="00627DA0">
        <w:t xml:space="preserve">approximately </w:t>
      </w:r>
      <w:r w:rsidR="00937B2E" w:rsidRPr="00627DA0">
        <w:t xml:space="preserve">6,150 </w:t>
      </w:r>
      <w:r w:rsidR="00DF5C84" w:rsidRPr="00627DA0">
        <w:t>MW</w:t>
      </w:r>
      <w:r w:rsidR="005C43C2" w:rsidRPr="00627DA0">
        <w:t>h</w:t>
      </w:r>
      <w:r w:rsidR="00C57EE1" w:rsidRPr="00627DA0">
        <w:t xml:space="preserve"> per year</w:t>
      </w:r>
      <w:r w:rsidR="00DF5C84" w:rsidRPr="00627DA0">
        <w:t xml:space="preserve">. </w:t>
      </w:r>
      <w:r w:rsidR="00331BA0" w:rsidRPr="00627DA0">
        <w:t>Savings from NEEA’s market transformation initiatives are primarily in the residential sector. Savings from NEEA decreased in 2022 when the baselines that are used to quantify its market transformation efforts were reset to align with the 2021 Power Plan. A similar adjustment happened in 2016.</w:t>
      </w:r>
    </w:p>
    <w:p w14:paraId="044CC223" w14:textId="0C5A76BE" w:rsidR="003A34BB" w:rsidRPr="00627DA0" w:rsidRDefault="0032364D" w:rsidP="003A34BB">
      <w:r w:rsidRPr="00627DA0">
        <w:t>Inland Power</w:t>
      </w:r>
      <w:r w:rsidR="00692427" w:rsidRPr="00627DA0">
        <w:t xml:space="preserve"> provided detailed program achievement</w:t>
      </w:r>
      <w:r w:rsidR="000367B7" w:rsidRPr="00627DA0">
        <w:t xml:space="preserve"> data</w:t>
      </w:r>
      <w:r w:rsidR="00692427" w:rsidRPr="00627DA0">
        <w:t xml:space="preserve"> </w:t>
      </w:r>
      <w:r w:rsidR="000367B7" w:rsidRPr="00627DA0">
        <w:t>for</w:t>
      </w:r>
      <w:r w:rsidR="00CE6D99" w:rsidRPr="00627DA0">
        <w:t xml:space="preserve"> 202</w:t>
      </w:r>
      <w:r w:rsidR="006D5DCB" w:rsidRPr="00627DA0">
        <w:t>3</w:t>
      </w:r>
      <w:r w:rsidR="000367B7" w:rsidRPr="00627DA0">
        <w:t xml:space="preserve"> and </w:t>
      </w:r>
      <w:r w:rsidR="00CE6D99" w:rsidRPr="00627DA0">
        <w:t>202</w:t>
      </w:r>
      <w:r w:rsidR="006D5DCB" w:rsidRPr="00627DA0">
        <w:t>4</w:t>
      </w:r>
      <w:r w:rsidR="00CE6D99" w:rsidRPr="00627DA0">
        <w:t>. The sections below</w:t>
      </w:r>
      <w:r w:rsidR="00FA51F7" w:rsidRPr="00627DA0">
        <w:t xml:space="preserve"> summarize these recent achievements.</w:t>
      </w:r>
      <w:r w:rsidR="003A34BB" w:rsidRPr="00627DA0">
        <w:t xml:space="preserve"> </w:t>
      </w:r>
      <w:r w:rsidR="001C408D" w:rsidRPr="00627DA0">
        <w:t xml:space="preserve">Note that discrepancies </w:t>
      </w:r>
      <w:r w:rsidR="0007375E" w:rsidRPr="00627DA0">
        <w:t xml:space="preserve">may </w:t>
      </w:r>
      <w:r w:rsidR="001C408D" w:rsidRPr="00627DA0">
        <w:t xml:space="preserve">exist between the reported EIA values and the </w:t>
      </w:r>
      <w:r w:rsidR="00A71D29" w:rsidRPr="00627DA0">
        <w:t>following more detailed accomplishment</w:t>
      </w:r>
      <w:r w:rsidR="002C0377" w:rsidRPr="00627DA0">
        <w:t xml:space="preserve"> data</w:t>
      </w:r>
      <w:r w:rsidR="00A71D29" w:rsidRPr="00627DA0">
        <w:t xml:space="preserve"> due </w:t>
      </w:r>
      <w:r w:rsidR="00AB4FA1" w:rsidRPr="00627DA0">
        <w:t>to</w:t>
      </w:r>
      <w:r w:rsidR="0007375E" w:rsidRPr="00627DA0">
        <w:t xml:space="preserve"> </w:t>
      </w:r>
      <w:r w:rsidR="00AB4FA1" w:rsidRPr="00627DA0">
        <w:t>differences in reporting timelines</w:t>
      </w:r>
      <w:r w:rsidR="0007375E" w:rsidRPr="00627DA0">
        <w:t xml:space="preserve">, differences in </w:t>
      </w:r>
      <w:r w:rsidR="00AB4FA1" w:rsidRPr="00627DA0">
        <w:t>sector definitions</w:t>
      </w:r>
      <w:r w:rsidR="007C3FC9" w:rsidRPr="00627DA0">
        <w:t xml:space="preserve"> and </w:t>
      </w:r>
      <w:r w:rsidR="00BD74A8" w:rsidRPr="00627DA0">
        <w:t xml:space="preserve">the </w:t>
      </w:r>
      <w:r w:rsidR="007C3FC9" w:rsidRPr="00627DA0">
        <w:t>exclusion of certain measures</w:t>
      </w:r>
      <w:r w:rsidR="00A27943" w:rsidRPr="00627DA0">
        <w:t xml:space="preserve"> reported under the EIA that are</w:t>
      </w:r>
      <w:r w:rsidR="007C3FC9" w:rsidRPr="00627DA0">
        <w:t xml:space="preserve"> </w:t>
      </w:r>
      <w:r w:rsidR="00EE09B0" w:rsidRPr="00627DA0">
        <w:t xml:space="preserve">not </w:t>
      </w:r>
      <w:r w:rsidR="00BD74A8" w:rsidRPr="00627DA0">
        <w:t>included in</w:t>
      </w:r>
      <w:r w:rsidR="00EE09B0" w:rsidRPr="00627DA0">
        <w:t xml:space="preserve"> this CPA. </w:t>
      </w:r>
    </w:p>
    <w:p w14:paraId="6E21C74E" w14:textId="43D36222" w:rsidR="001C3289" w:rsidRPr="00627DA0" w:rsidRDefault="001C3289" w:rsidP="001C3289">
      <w:pPr>
        <w:pStyle w:val="Heading2"/>
      </w:pPr>
      <w:bookmarkStart w:id="69" w:name="_Toc207870673"/>
      <w:r w:rsidRPr="00627DA0">
        <w:t>Residential</w:t>
      </w:r>
      <w:bookmarkEnd w:id="69"/>
    </w:p>
    <w:p w14:paraId="1F688AC5" w14:textId="285E306C" w:rsidR="001C3289" w:rsidRPr="00627DA0" w:rsidRDefault="008C7047" w:rsidP="001C3289">
      <w:r w:rsidRPr="00627DA0">
        <w:t xml:space="preserve">The recent residential program achievements </w:t>
      </w:r>
      <w:r w:rsidR="009D1E50" w:rsidRPr="00627DA0">
        <w:t xml:space="preserve">by end use </w:t>
      </w:r>
      <w:r w:rsidRPr="00627DA0">
        <w:t xml:space="preserve">are shown in </w:t>
      </w:r>
      <w:r w:rsidR="00B1765D" w:rsidRPr="00627DA0">
        <w:fldChar w:fldCharType="begin"/>
      </w:r>
      <w:r w:rsidR="00B1765D" w:rsidRPr="00627DA0">
        <w:instrText xml:space="preserve"> REF _Ref48638089 \h </w:instrText>
      </w:r>
      <w:r w:rsidR="00B1765D" w:rsidRPr="00627DA0">
        <w:fldChar w:fldCharType="separate"/>
      </w:r>
      <w:r w:rsidR="00431297" w:rsidRPr="00627DA0">
        <w:t>Figure 9</w:t>
      </w:r>
      <w:r w:rsidR="00B1765D" w:rsidRPr="00627DA0">
        <w:fldChar w:fldCharType="end"/>
      </w:r>
      <w:r w:rsidR="009D1E50" w:rsidRPr="00627DA0">
        <w:t>.</w:t>
      </w:r>
      <w:r w:rsidR="00E2107D" w:rsidRPr="00627DA0">
        <w:t xml:space="preserve"> The</w:t>
      </w:r>
      <w:r w:rsidR="00031EC3" w:rsidRPr="00627DA0">
        <w:t xml:space="preserve"> savings </w:t>
      </w:r>
      <w:r w:rsidR="00965F20" w:rsidRPr="00627DA0">
        <w:t>to</w:t>
      </w:r>
      <w:r w:rsidR="00E35649" w:rsidRPr="00627DA0">
        <w:t>tal</w:t>
      </w:r>
      <w:r w:rsidR="009F3D44" w:rsidRPr="00627DA0">
        <w:t xml:space="preserve"> </w:t>
      </w:r>
      <w:r w:rsidR="001057D9" w:rsidRPr="00627DA0">
        <w:t>approximately</w:t>
      </w:r>
      <w:r w:rsidR="00D04331" w:rsidRPr="00627DA0">
        <w:t xml:space="preserve"> </w:t>
      </w:r>
      <w:r w:rsidR="00244AE7" w:rsidRPr="00627DA0">
        <w:t>88</w:t>
      </w:r>
      <w:r w:rsidR="008903DA" w:rsidRPr="00627DA0">
        <w:t>4</w:t>
      </w:r>
      <w:r w:rsidR="00001037" w:rsidRPr="00627DA0">
        <w:t xml:space="preserve"> MW</w:t>
      </w:r>
      <w:r w:rsidR="00504D26" w:rsidRPr="00627DA0">
        <w:t>h</w:t>
      </w:r>
      <w:r w:rsidR="00001037" w:rsidRPr="00627DA0">
        <w:t xml:space="preserve"> over the t</w:t>
      </w:r>
      <w:r w:rsidR="00665109" w:rsidRPr="00627DA0">
        <w:t>wo</w:t>
      </w:r>
      <w:r w:rsidR="00001037" w:rsidRPr="00627DA0">
        <w:t xml:space="preserve"> years. </w:t>
      </w:r>
      <w:r w:rsidR="00DA6E6A" w:rsidRPr="00627DA0">
        <w:t>T</w:t>
      </w:r>
      <w:r w:rsidR="00552199" w:rsidRPr="00627DA0">
        <w:t xml:space="preserve">he </w:t>
      </w:r>
      <w:r w:rsidR="00CB7AED" w:rsidRPr="00627DA0">
        <w:t>HVAC end use</w:t>
      </w:r>
      <w:r w:rsidR="00F057BF" w:rsidRPr="00627DA0">
        <w:t xml:space="preserve"> </w:t>
      </w:r>
      <w:r w:rsidR="003D1366" w:rsidRPr="00627DA0">
        <w:t>is</w:t>
      </w:r>
      <w:r w:rsidR="00697216" w:rsidRPr="00627DA0">
        <w:t xml:space="preserve"> the largest </w:t>
      </w:r>
      <w:r w:rsidR="00087BE2" w:rsidRPr="00627DA0">
        <w:t>end use, at</w:t>
      </w:r>
      <w:r w:rsidR="00D82C77" w:rsidRPr="00627DA0">
        <w:t xml:space="preserve"> nearly</w:t>
      </w:r>
      <w:r w:rsidR="00087BE2" w:rsidRPr="00627DA0">
        <w:t xml:space="preserve"> </w:t>
      </w:r>
      <w:r w:rsidR="00390A41" w:rsidRPr="00627DA0">
        <w:t>8</w:t>
      </w:r>
      <w:r w:rsidR="00D82C77" w:rsidRPr="00627DA0">
        <w:t>0</w:t>
      </w:r>
      <w:r w:rsidR="00087BE2" w:rsidRPr="00627DA0">
        <w:t>% of the total.</w:t>
      </w:r>
      <w:r w:rsidR="00496D1C" w:rsidRPr="00627DA0">
        <w:t xml:space="preserve"> </w:t>
      </w:r>
      <w:r w:rsidR="00087BE2" w:rsidRPr="00627DA0">
        <w:t>This end use</w:t>
      </w:r>
      <w:r w:rsidR="00496D1C" w:rsidRPr="00627DA0">
        <w:t xml:space="preserve"> includes both weatherization measures as well as heating system equipment.</w:t>
      </w:r>
      <w:r w:rsidR="009D32BC" w:rsidRPr="00627DA0">
        <w:t xml:space="preserve"> </w:t>
      </w:r>
      <w:r w:rsidR="006B3B43" w:rsidRPr="00627DA0">
        <w:t>Outside of</w:t>
      </w:r>
      <w:r w:rsidR="00087BE2" w:rsidRPr="00627DA0">
        <w:t xml:space="preserve"> HVAC, </w:t>
      </w:r>
      <w:r w:rsidR="0032364D" w:rsidRPr="00627DA0">
        <w:t>Inland Power</w:t>
      </w:r>
      <w:r w:rsidR="006B3B43" w:rsidRPr="00627DA0">
        <w:t xml:space="preserve"> has achieved savings in the </w:t>
      </w:r>
      <w:r w:rsidR="0071693F" w:rsidRPr="00627DA0">
        <w:t xml:space="preserve">water heating and </w:t>
      </w:r>
      <w:r w:rsidR="0071693F" w:rsidRPr="00627DA0">
        <w:lastRenderedPageBreak/>
        <w:t>appliances end uses, in addition to savings from new homes</w:t>
      </w:r>
      <w:r w:rsidR="00800131" w:rsidRPr="00627DA0">
        <w:t>, which are listed in the whole home end use</w:t>
      </w:r>
      <w:r w:rsidR="0071693F" w:rsidRPr="00627DA0">
        <w:t xml:space="preserve">. </w:t>
      </w:r>
    </w:p>
    <w:p w14:paraId="313386E8" w14:textId="6F46702F" w:rsidR="00157357" w:rsidRPr="00627DA0" w:rsidRDefault="00FA39C5" w:rsidP="00FA39C5">
      <w:pPr>
        <w:pStyle w:val="Caption"/>
      </w:pPr>
      <w:bookmarkStart w:id="70" w:name="_Ref48638089"/>
      <w:bookmarkStart w:id="71" w:name="_Toc207870708"/>
      <w:r w:rsidRPr="00627DA0">
        <w:t xml:space="preserve">Figure </w:t>
      </w:r>
      <w:fldSimple w:instr=" SEQ Figure \* ARABIC ">
        <w:r w:rsidR="00431297" w:rsidRPr="00627DA0">
          <w:t>9</w:t>
        </w:r>
      </w:fldSimple>
      <w:bookmarkEnd w:id="70"/>
      <w:r w:rsidRPr="00627DA0">
        <w:t xml:space="preserve">: </w:t>
      </w:r>
      <w:r w:rsidR="00AE4B76" w:rsidRPr="00627DA0">
        <w:t>Recent</w:t>
      </w:r>
      <w:r w:rsidRPr="00627DA0">
        <w:t xml:space="preserve"> Residential Program Achievements by End Use</w:t>
      </w:r>
      <w:r w:rsidR="00AE4B76" w:rsidRPr="00627DA0">
        <w:t xml:space="preserve"> (MWh)</w:t>
      </w:r>
      <w:bookmarkEnd w:id="71"/>
    </w:p>
    <w:p w14:paraId="0409A1AE" w14:textId="0EBED304" w:rsidR="00FA39C5" w:rsidRPr="00627DA0" w:rsidRDefault="00D17D01" w:rsidP="00FA39C5">
      <w:pPr>
        <w:pStyle w:val="Caption"/>
      </w:pPr>
      <w:r w:rsidRPr="00627DA0">
        <w:drawing>
          <wp:inline distT="0" distB="0" distL="0" distR="0" wp14:anchorId="53EB732D" wp14:editId="0C481E1C">
            <wp:extent cx="5948680" cy="2319680"/>
            <wp:effectExtent l="0" t="0" r="0" b="4445"/>
            <wp:docPr id="958084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4948"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t="7756" b="7756"/>
                    <a:stretch>
                      <a:fillRect/>
                    </a:stretch>
                  </pic:blipFill>
                  <pic:spPr bwMode="auto">
                    <a:xfrm>
                      <a:off x="0" y="0"/>
                      <a:ext cx="5948680" cy="2319680"/>
                    </a:xfrm>
                    <a:prstGeom prst="rect">
                      <a:avLst/>
                    </a:prstGeom>
                    <a:noFill/>
                    <a:ln>
                      <a:noFill/>
                    </a:ln>
                    <a:extLst>
                      <a:ext uri="{53640926-AAD7-44D8-BBD7-CCE9431645EC}">
                        <a14:shadowObscured xmlns:a14="http://schemas.microsoft.com/office/drawing/2010/main"/>
                      </a:ext>
                    </a:extLst>
                  </pic:spPr>
                </pic:pic>
              </a:graphicData>
            </a:graphic>
          </wp:inline>
        </w:drawing>
      </w:r>
    </w:p>
    <w:p w14:paraId="33B38041" w14:textId="3098E0C9" w:rsidR="00F22522" w:rsidRPr="00627DA0" w:rsidRDefault="00F22522" w:rsidP="00F22522">
      <w:pPr>
        <w:pStyle w:val="Heading2"/>
      </w:pPr>
      <w:bookmarkStart w:id="72" w:name="_Toc207870674"/>
      <w:bookmarkStart w:id="73" w:name="_Ref48633743"/>
      <w:r w:rsidRPr="00627DA0">
        <w:t>Commercial</w:t>
      </w:r>
      <w:bookmarkEnd w:id="72"/>
    </w:p>
    <w:p w14:paraId="5C383482" w14:textId="36190CE9" w:rsidR="000472D3" w:rsidRPr="00627DA0" w:rsidRDefault="0032364D" w:rsidP="00F22522">
      <w:r w:rsidRPr="00627DA0">
        <w:t>Inland Power</w:t>
      </w:r>
      <w:r w:rsidR="000472D3" w:rsidRPr="00627DA0">
        <w:t>’s commercial savings are</w:t>
      </w:r>
      <w:r w:rsidR="00DD31F9" w:rsidRPr="00627DA0">
        <w:t xml:space="preserve"> </w:t>
      </w:r>
      <w:r w:rsidR="00CD3A60" w:rsidRPr="00627DA0">
        <w:t xml:space="preserve">primarily </w:t>
      </w:r>
      <w:r w:rsidR="00951BD9" w:rsidRPr="00627DA0">
        <w:t>from</w:t>
      </w:r>
      <w:r w:rsidR="000472D3" w:rsidRPr="00627DA0">
        <w:t xml:space="preserve"> </w:t>
      </w:r>
      <w:r w:rsidR="00826B2B" w:rsidRPr="00627DA0">
        <w:t xml:space="preserve">the </w:t>
      </w:r>
      <w:r w:rsidR="000472D3" w:rsidRPr="00627DA0">
        <w:t>lighting</w:t>
      </w:r>
      <w:r w:rsidR="00826B2B" w:rsidRPr="00627DA0">
        <w:t xml:space="preserve"> </w:t>
      </w:r>
      <w:r w:rsidR="00CD3A60" w:rsidRPr="00627DA0">
        <w:t>end use</w:t>
      </w:r>
      <w:r w:rsidR="000472D3" w:rsidRPr="00627DA0">
        <w:t xml:space="preserve">, as shown in </w:t>
      </w:r>
      <w:r w:rsidR="00C52E2A" w:rsidRPr="00627DA0">
        <w:fldChar w:fldCharType="begin"/>
      </w:r>
      <w:r w:rsidR="00C52E2A" w:rsidRPr="00627DA0">
        <w:instrText xml:space="preserve"> REF _Ref48638415 \h </w:instrText>
      </w:r>
      <w:r w:rsidR="00C52E2A" w:rsidRPr="00627DA0">
        <w:fldChar w:fldCharType="separate"/>
      </w:r>
      <w:r w:rsidR="00431297" w:rsidRPr="00627DA0">
        <w:t>Figure 10</w:t>
      </w:r>
      <w:r w:rsidR="00C52E2A" w:rsidRPr="00627DA0">
        <w:fldChar w:fldCharType="end"/>
      </w:r>
      <w:r w:rsidR="00411E4C" w:rsidRPr="00627DA0">
        <w:t xml:space="preserve">. </w:t>
      </w:r>
      <w:r w:rsidR="00F14229" w:rsidRPr="00627DA0">
        <w:t xml:space="preserve">In total, commercial savings </w:t>
      </w:r>
      <w:r w:rsidR="002B4EC7" w:rsidRPr="00627DA0">
        <w:t>were</w:t>
      </w:r>
      <w:r w:rsidR="00EA6FE5" w:rsidRPr="00627DA0">
        <w:t xml:space="preserve"> </w:t>
      </w:r>
      <w:r w:rsidR="00AA0D02" w:rsidRPr="00627DA0">
        <w:t>more than</w:t>
      </w:r>
      <w:r w:rsidR="00EA6FE5" w:rsidRPr="00627DA0">
        <w:t xml:space="preserve"> </w:t>
      </w:r>
      <w:r w:rsidR="00141FA8" w:rsidRPr="00627DA0">
        <w:t>583</w:t>
      </w:r>
      <w:r w:rsidR="002B4EC7" w:rsidRPr="00627DA0">
        <w:t xml:space="preserve"> </w:t>
      </w:r>
      <w:r w:rsidR="00435DD7" w:rsidRPr="00627DA0">
        <w:t>MW</w:t>
      </w:r>
      <w:r w:rsidR="00EA6FE5" w:rsidRPr="00627DA0">
        <w:t>h</w:t>
      </w:r>
      <w:r w:rsidR="00435DD7" w:rsidRPr="00627DA0">
        <w:t xml:space="preserve"> </w:t>
      </w:r>
      <w:r w:rsidR="002B4EC7" w:rsidRPr="00627DA0">
        <w:t>over the two-</w:t>
      </w:r>
      <w:r w:rsidR="00435DD7" w:rsidRPr="00627DA0">
        <w:t>year</w:t>
      </w:r>
      <w:r w:rsidR="002B4EC7" w:rsidRPr="00627DA0">
        <w:t xml:space="preserve"> period</w:t>
      </w:r>
      <w:r w:rsidR="00AC6C01" w:rsidRPr="00627DA0">
        <w:t>.</w:t>
      </w:r>
    </w:p>
    <w:p w14:paraId="2E71F5C3" w14:textId="30A91FF1" w:rsidR="000472D3" w:rsidRPr="00627DA0" w:rsidRDefault="000472D3" w:rsidP="000472D3">
      <w:pPr>
        <w:pStyle w:val="Caption"/>
      </w:pPr>
      <w:bookmarkStart w:id="74" w:name="_Ref48638415"/>
      <w:bookmarkStart w:id="75" w:name="_Toc207870709"/>
      <w:r w:rsidRPr="00627DA0">
        <w:t xml:space="preserve">Figure </w:t>
      </w:r>
      <w:fldSimple w:instr=" SEQ Figure \* ARABIC ">
        <w:r w:rsidR="00431297" w:rsidRPr="00627DA0">
          <w:t>10</w:t>
        </w:r>
      </w:fldSimple>
      <w:bookmarkEnd w:id="74"/>
      <w:r w:rsidRPr="00627DA0">
        <w:t xml:space="preserve">: </w:t>
      </w:r>
      <w:r w:rsidR="00163BDA" w:rsidRPr="00627DA0">
        <w:t>Recent</w:t>
      </w:r>
      <w:r w:rsidRPr="00627DA0">
        <w:t xml:space="preserve"> Commercial Program Achievements by End Use</w:t>
      </w:r>
      <w:bookmarkEnd w:id="75"/>
    </w:p>
    <w:p w14:paraId="240DAA84" w14:textId="76C1EAA3" w:rsidR="007B5253" w:rsidRPr="00627DA0" w:rsidRDefault="00096074" w:rsidP="007B5253">
      <w:r w:rsidRPr="00627DA0">
        <w:drawing>
          <wp:inline distT="0" distB="0" distL="0" distR="0" wp14:anchorId="48F301BA" wp14:editId="735081BB">
            <wp:extent cx="5948680" cy="2300793"/>
            <wp:effectExtent l="0" t="0" r="0" b="4445"/>
            <wp:docPr id="641700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00476"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t="8100" b="8100"/>
                    <a:stretch>
                      <a:fillRect/>
                    </a:stretch>
                  </pic:blipFill>
                  <pic:spPr bwMode="auto">
                    <a:xfrm>
                      <a:off x="0" y="0"/>
                      <a:ext cx="5948680" cy="2300793"/>
                    </a:xfrm>
                    <a:prstGeom prst="rect">
                      <a:avLst/>
                    </a:prstGeom>
                    <a:noFill/>
                    <a:ln>
                      <a:noFill/>
                    </a:ln>
                    <a:extLst>
                      <a:ext uri="{53640926-AAD7-44D8-BBD7-CCE9431645EC}">
                        <a14:shadowObscured xmlns:a14="http://schemas.microsoft.com/office/drawing/2010/main"/>
                      </a:ext>
                    </a:extLst>
                  </pic:spPr>
                </pic:pic>
              </a:graphicData>
            </a:graphic>
          </wp:inline>
        </w:drawing>
      </w:r>
    </w:p>
    <w:p w14:paraId="12EF6641" w14:textId="7EDFD17B" w:rsidR="009369B0" w:rsidRPr="00627DA0" w:rsidRDefault="009369B0" w:rsidP="009369B0">
      <w:pPr>
        <w:pStyle w:val="Heading2"/>
      </w:pPr>
      <w:bookmarkStart w:id="76" w:name="_Toc207870675"/>
      <w:r w:rsidRPr="00627DA0">
        <w:t>Industrial</w:t>
      </w:r>
      <w:bookmarkEnd w:id="76"/>
    </w:p>
    <w:p w14:paraId="5E0F7B05" w14:textId="53A72E7B" w:rsidR="009369B0" w:rsidRPr="00627DA0" w:rsidRDefault="0010345E" w:rsidP="009369B0">
      <w:r w:rsidRPr="00627DA0">
        <w:t xml:space="preserve">Inland Power’s industrial sector is relatively small. Loads related to indoor agriculture operations comprise more than 40% of all industrial loads. Inland Power’s programs have little traction in the industrial sector, and some projects may be categorized under the commercial schedule. Therefore, </w:t>
      </w:r>
      <w:r w:rsidR="00192BFA" w:rsidRPr="00627DA0">
        <w:t xml:space="preserve">the only historical savings </w:t>
      </w:r>
      <w:r w:rsidR="00305DD7" w:rsidRPr="00627DA0">
        <w:t xml:space="preserve">quantified were from </w:t>
      </w:r>
      <w:r w:rsidR="00755234" w:rsidRPr="00627DA0">
        <w:t xml:space="preserve">a 2023 industrial refrigeration project that provided </w:t>
      </w:r>
      <w:r w:rsidR="001978BF" w:rsidRPr="00627DA0">
        <w:t xml:space="preserve">approximately 81 MWh in savings. </w:t>
      </w:r>
      <w:r w:rsidR="00251C4F" w:rsidRPr="00627DA0">
        <w:t xml:space="preserve">This is </w:t>
      </w:r>
      <w:r w:rsidR="001978BF" w:rsidRPr="00627DA0">
        <w:t xml:space="preserve">shown </w:t>
      </w:r>
      <w:r w:rsidR="00251C4F" w:rsidRPr="00627DA0">
        <w:t xml:space="preserve">in </w:t>
      </w:r>
      <w:r w:rsidR="00251C4F" w:rsidRPr="00627DA0">
        <w:fldChar w:fldCharType="begin"/>
      </w:r>
      <w:r w:rsidR="00251C4F" w:rsidRPr="00627DA0">
        <w:instrText xml:space="preserve"> REF _Ref61019243 \h </w:instrText>
      </w:r>
      <w:r w:rsidR="00251C4F" w:rsidRPr="00627DA0">
        <w:fldChar w:fldCharType="separate"/>
      </w:r>
      <w:r w:rsidR="00431297" w:rsidRPr="00627DA0">
        <w:t>Figure 11</w:t>
      </w:r>
      <w:r w:rsidR="00251C4F" w:rsidRPr="00627DA0">
        <w:fldChar w:fldCharType="end"/>
      </w:r>
      <w:r w:rsidR="001978BF" w:rsidRPr="00627DA0">
        <w:t>.</w:t>
      </w:r>
      <w:r w:rsidR="004D6D8A" w:rsidRPr="00627DA0">
        <w:t xml:space="preserve"> </w:t>
      </w:r>
    </w:p>
    <w:p w14:paraId="5EEAAF29" w14:textId="489C77DE" w:rsidR="00F574E7" w:rsidRPr="00627DA0" w:rsidRDefault="00F574E7" w:rsidP="00F574E7">
      <w:pPr>
        <w:pStyle w:val="Caption"/>
      </w:pPr>
      <w:bookmarkStart w:id="77" w:name="_Ref61019243"/>
      <w:bookmarkStart w:id="78" w:name="_Toc207870710"/>
      <w:r w:rsidRPr="00627DA0">
        <w:lastRenderedPageBreak/>
        <w:t xml:space="preserve">Figure </w:t>
      </w:r>
      <w:fldSimple w:instr=" SEQ Figure \* ARABIC ">
        <w:r w:rsidR="00431297" w:rsidRPr="00627DA0">
          <w:t>11</w:t>
        </w:r>
      </w:fldSimple>
      <w:bookmarkEnd w:id="77"/>
      <w:r w:rsidRPr="00627DA0">
        <w:t xml:space="preserve">: </w:t>
      </w:r>
      <w:r w:rsidR="003E1395" w:rsidRPr="00627DA0">
        <w:t>Recent</w:t>
      </w:r>
      <w:r w:rsidRPr="00627DA0">
        <w:t xml:space="preserve"> Industrial Program Achievements by End Use</w:t>
      </w:r>
      <w:bookmarkEnd w:id="78"/>
    </w:p>
    <w:p w14:paraId="4FDC9807" w14:textId="69D473E3" w:rsidR="00743BE0" w:rsidRPr="00627DA0" w:rsidRDefault="00402673" w:rsidP="000472D3">
      <w:pPr>
        <w:pStyle w:val="Caption"/>
      </w:pPr>
      <w:r w:rsidRPr="00627DA0">
        <w:drawing>
          <wp:inline distT="0" distB="0" distL="0" distR="0" wp14:anchorId="0D9DB074" wp14:editId="5BA8D0FD">
            <wp:extent cx="5948680" cy="2202954"/>
            <wp:effectExtent l="0" t="0" r="0" b="6985"/>
            <wp:docPr id="230981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1244"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t="9881" b="9881"/>
                    <a:stretch>
                      <a:fillRect/>
                    </a:stretch>
                  </pic:blipFill>
                  <pic:spPr bwMode="auto">
                    <a:xfrm>
                      <a:off x="0" y="0"/>
                      <a:ext cx="5948680" cy="2202954"/>
                    </a:xfrm>
                    <a:prstGeom prst="rect">
                      <a:avLst/>
                    </a:prstGeom>
                    <a:noFill/>
                    <a:ln>
                      <a:noFill/>
                    </a:ln>
                    <a:extLst>
                      <a:ext uri="{53640926-AAD7-44D8-BBD7-CCE9431645EC}">
                        <a14:shadowObscured xmlns:a14="http://schemas.microsoft.com/office/drawing/2010/main"/>
                      </a:ext>
                    </a:extLst>
                  </pic:spPr>
                </pic:pic>
              </a:graphicData>
            </a:graphic>
          </wp:inline>
        </w:drawing>
      </w:r>
    </w:p>
    <w:p w14:paraId="33E53CB8" w14:textId="2DF701EC" w:rsidR="005F1B67" w:rsidRPr="00627DA0" w:rsidRDefault="005F1B67" w:rsidP="005F1B67">
      <w:pPr>
        <w:pStyle w:val="Heading2"/>
      </w:pPr>
      <w:bookmarkStart w:id="79" w:name="_Toc207870676"/>
      <w:r w:rsidRPr="00627DA0">
        <w:t>Agricultural</w:t>
      </w:r>
      <w:bookmarkEnd w:id="79"/>
    </w:p>
    <w:p w14:paraId="53F98E88" w14:textId="20A79080" w:rsidR="005F1B67" w:rsidRPr="00627DA0" w:rsidRDefault="00603D31" w:rsidP="005F1B67">
      <w:r w:rsidRPr="00627DA0">
        <w:t xml:space="preserve">Similarly to the industrial sector, Inland Power’s </w:t>
      </w:r>
      <w:r w:rsidR="003C1EB2" w:rsidRPr="00627DA0">
        <w:t xml:space="preserve">historical </w:t>
      </w:r>
      <w:r w:rsidRPr="00627DA0">
        <w:t xml:space="preserve">agricultural </w:t>
      </w:r>
      <w:r w:rsidR="003C1EB2" w:rsidRPr="00627DA0">
        <w:t xml:space="preserve">conservation savings are more limited. </w:t>
      </w:r>
      <w:r w:rsidR="00660FF9" w:rsidRPr="00627DA0">
        <w:fldChar w:fldCharType="begin"/>
      </w:r>
      <w:r w:rsidR="00660FF9" w:rsidRPr="00627DA0">
        <w:instrText xml:space="preserve"> REF _Ref207867198 \h </w:instrText>
      </w:r>
      <w:r w:rsidR="00660FF9" w:rsidRPr="00627DA0">
        <w:fldChar w:fldCharType="separate"/>
      </w:r>
      <w:r w:rsidR="00431297" w:rsidRPr="00627DA0">
        <w:t>Figure 12</w:t>
      </w:r>
      <w:r w:rsidR="00660FF9" w:rsidRPr="00627DA0">
        <w:fldChar w:fldCharType="end"/>
      </w:r>
      <w:r w:rsidR="00660FF9" w:rsidRPr="00627DA0">
        <w:t xml:space="preserve"> shows the</w:t>
      </w:r>
      <w:r w:rsidR="003B33F4" w:rsidRPr="00627DA0">
        <w:t xml:space="preserve"> accomplishments applicable to the CPA in the irrigation end use</w:t>
      </w:r>
      <w:r w:rsidR="00B94361" w:rsidRPr="00627DA0">
        <w:t>. This does not incl</w:t>
      </w:r>
      <w:r w:rsidR="00E44F98" w:rsidRPr="00627DA0">
        <w:t xml:space="preserve">ude savings from Inland Power’s </w:t>
      </w:r>
      <w:r w:rsidR="00FE598D" w:rsidRPr="00627DA0">
        <w:t>thermostatically controlled outlet</w:t>
      </w:r>
      <w:r w:rsidR="00E44F98" w:rsidRPr="00627DA0">
        <w:t xml:space="preserve"> program</w:t>
      </w:r>
      <w:r w:rsidR="00FE598D" w:rsidRPr="00627DA0">
        <w:t>,</w:t>
      </w:r>
      <w:r w:rsidR="00E44F98" w:rsidRPr="00627DA0">
        <w:t xml:space="preserve"> which </w:t>
      </w:r>
      <w:r w:rsidR="00B50AB2" w:rsidRPr="00627DA0">
        <w:t xml:space="preserve">was </w:t>
      </w:r>
      <w:r w:rsidR="00E44F98" w:rsidRPr="00627DA0">
        <w:t xml:space="preserve">excluded </w:t>
      </w:r>
      <w:r w:rsidR="003160C3" w:rsidRPr="00627DA0">
        <w:t xml:space="preserve">given that </w:t>
      </w:r>
      <w:r w:rsidR="00B50AB2" w:rsidRPr="00627DA0">
        <w:t xml:space="preserve">the CPA does not quantify potential for </w:t>
      </w:r>
      <w:r w:rsidR="009D6F16" w:rsidRPr="00627DA0">
        <w:t xml:space="preserve">this measure. </w:t>
      </w:r>
      <w:r w:rsidR="00194F10" w:rsidRPr="00627DA0">
        <w:t xml:space="preserve">Savings from this measure totaled more than </w:t>
      </w:r>
      <w:r w:rsidR="00B50AB2" w:rsidRPr="00627DA0">
        <w:t>2,000</w:t>
      </w:r>
      <w:r w:rsidR="00194F10" w:rsidRPr="00627DA0">
        <w:t xml:space="preserve"> </w:t>
      </w:r>
      <w:r w:rsidR="00B50AB2" w:rsidRPr="00627DA0">
        <w:t>M</w:t>
      </w:r>
      <w:r w:rsidR="00194F10" w:rsidRPr="00627DA0">
        <w:t>Wh in 2023.</w:t>
      </w:r>
    </w:p>
    <w:p w14:paraId="4C25B4A4" w14:textId="35C7D4D4" w:rsidR="00603D31" w:rsidRPr="00627DA0" w:rsidRDefault="00603D31" w:rsidP="00603D31">
      <w:pPr>
        <w:pStyle w:val="Caption"/>
      </w:pPr>
      <w:bookmarkStart w:id="80" w:name="_Ref207867198"/>
      <w:bookmarkStart w:id="81" w:name="_Toc207870711"/>
      <w:r w:rsidRPr="00627DA0">
        <w:t xml:space="preserve">Figure </w:t>
      </w:r>
      <w:fldSimple w:instr=" SEQ Figure \* ARABIC ">
        <w:r w:rsidR="00431297" w:rsidRPr="00627DA0">
          <w:t>12</w:t>
        </w:r>
      </w:fldSimple>
      <w:bookmarkEnd w:id="80"/>
      <w:r w:rsidRPr="00627DA0">
        <w:t>: Recent Agricultural Program Achievements by End Use</w:t>
      </w:r>
      <w:bookmarkEnd w:id="81"/>
    </w:p>
    <w:p w14:paraId="313A8443" w14:textId="5D72D2C8" w:rsidR="00603D31" w:rsidRPr="00627DA0" w:rsidRDefault="00603D31" w:rsidP="00603D31">
      <w:pPr>
        <w:pStyle w:val="NormalWeb"/>
      </w:pPr>
      <w:r w:rsidRPr="00627DA0">
        <w:drawing>
          <wp:inline distT="0" distB="0" distL="0" distR="0" wp14:anchorId="4F7E0960" wp14:editId="705B450A">
            <wp:extent cx="5943600" cy="2742565"/>
            <wp:effectExtent l="0" t="0" r="0" b="635"/>
            <wp:docPr id="1158280417" name="Picture 6"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417" name="Picture 6" descr="A blue rectangle with white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32A5002D" w14:textId="78118A74" w:rsidR="000B594D" w:rsidRPr="00627DA0" w:rsidRDefault="000B594D" w:rsidP="005F1B67">
      <w:pPr>
        <w:rPr>
          <w:rFonts w:ascii="Calibri" w:eastAsiaTheme="majorEastAsia" w:hAnsi="Calibri" w:cstheme="majorBidi"/>
          <w:b/>
          <w:color w:val="002C7C" w:themeColor="accent1"/>
          <w:sz w:val="32"/>
          <w:szCs w:val="32"/>
        </w:rPr>
      </w:pPr>
      <w:r w:rsidRPr="00627DA0">
        <w:br w:type="page"/>
      </w:r>
    </w:p>
    <w:p w14:paraId="59F7A130" w14:textId="31F2941D" w:rsidR="000B594D" w:rsidRPr="00627DA0" w:rsidRDefault="00D827A5" w:rsidP="00D827A5">
      <w:pPr>
        <w:pStyle w:val="Heading1"/>
      </w:pPr>
      <w:bookmarkStart w:id="82" w:name="_Toc207870677"/>
      <w:r w:rsidRPr="00627DA0">
        <w:lastRenderedPageBreak/>
        <w:t>Results</w:t>
      </w:r>
      <w:bookmarkEnd w:id="82"/>
    </w:p>
    <w:p w14:paraId="5CA16A4C" w14:textId="1A04C313" w:rsidR="000D4B4F" w:rsidRPr="00627DA0" w:rsidRDefault="00A47DE2" w:rsidP="000D4B4F">
      <w:r w:rsidRPr="00627DA0">
        <w:t>This section discusses the results of the 202</w:t>
      </w:r>
      <w:r w:rsidR="007233E3" w:rsidRPr="00627DA0">
        <w:t>5</w:t>
      </w:r>
      <w:r w:rsidRPr="00627DA0">
        <w:t xml:space="preserve"> CPA</w:t>
      </w:r>
      <w:r w:rsidR="009E531B" w:rsidRPr="00627DA0">
        <w:t xml:space="preserve">. It begins with a discussion of the </w:t>
      </w:r>
      <w:r w:rsidR="007935C8" w:rsidRPr="00627DA0">
        <w:t xml:space="preserve">high-level </w:t>
      </w:r>
      <w:r w:rsidR="002009AB" w:rsidRPr="00627DA0">
        <w:t xml:space="preserve">achievable </w:t>
      </w:r>
      <w:r w:rsidR="00DB12AC" w:rsidRPr="00627DA0">
        <w:t xml:space="preserve">conservation </w:t>
      </w:r>
      <w:r w:rsidR="009E531B" w:rsidRPr="00627DA0">
        <w:t xml:space="preserve">potential and then covers </w:t>
      </w:r>
      <w:r w:rsidR="000D76B4" w:rsidRPr="00627DA0">
        <w:t xml:space="preserve">additional detail on </w:t>
      </w:r>
      <w:r w:rsidR="00934B99" w:rsidRPr="00627DA0">
        <w:t>the</w:t>
      </w:r>
      <w:r w:rsidR="0048722A" w:rsidRPr="00627DA0">
        <w:t xml:space="preserve"> </w:t>
      </w:r>
      <w:r w:rsidR="00FF22FD" w:rsidRPr="00627DA0">
        <w:t>cost-effectiv</w:t>
      </w:r>
      <w:r w:rsidR="0048722A" w:rsidRPr="00627DA0">
        <w:t>e</w:t>
      </w:r>
      <w:r w:rsidR="00934B99" w:rsidRPr="00627DA0">
        <w:t xml:space="preserve"> potential within </w:t>
      </w:r>
      <w:r w:rsidR="0048722A" w:rsidRPr="00627DA0">
        <w:t xml:space="preserve">the individual </w:t>
      </w:r>
      <w:r w:rsidR="00934B99" w:rsidRPr="00627DA0">
        <w:t xml:space="preserve">sectors and end uses. </w:t>
      </w:r>
    </w:p>
    <w:p w14:paraId="02770AC7" w14:textId="363CE5EC" w:rsidR="00934B99" w:rsidRPr="00627DA0" w:rsidRDefault="008F66E3" w:rsidP="008F66E3">
      <w:pPr>
        <w:pStyle w:val="Heading2"/>
      </w:pPr>
      <w:bookmarkStart w:id="83" w:name="_Toc207870678"/>
      <w:r w:rsidRPr="00627DA0">
        <w:t>Achievable Conservation Potential</w:t>
      </w:r>
      <w:bookmarkEnd w:id="83"/>
    </w:p>
    <w:p w14:paraId="7BCEE02E" w14:textId="41D34DDF" w:rsidR="001C6E33" w:rsidRPr="00627DA0" w:rsidRDefault="00171C3B" w:rsidP="008F66E3">
      <w:r w:rsidRPr="00627DA0">
        <w:t xml:space="preserve">The </w:t>
      </w:r>
      <w:r w:rsidR="002009AB" w:rsidRPr="00627DA0">
        <w:t>achievable technical</w:t>
      </w:r>
      <w:r w:rsidR="008F66E3" w:rsidRPr="00627DA0">
        <w:t xml:space="preserve"> </w:t>
      </w:r>
      <w:r w:rsidRPr="00627DA0">
        <w:t>conservation potential is the amount of energy efficiency that can be saved without considering the cost-effec</w:t>
      </w:r>
      <w:r w:rsidR="00F17D77" w:rsidRPr="00627DA0">
        <w:t xml:space="preserve">tiveness of measures. It considers market barriers and </w:t>
      </w:r>
      <w:r w:rsidR="000A5A0E" w:rsidRPr="00627DA0">
        <w:t xml:space="preserve">the practical limits of acquiring energy savings </w:t>
      </w:r>
      <w:r w:rsidR="00142765" w:rsidRPr="00627DA0">
        <w:t>through</w:t>
      </w:r>
      <w:r w:rsidR="000A5A0E" w:rsidRPr="00627DA0">
        <w:t xml:space="preserve"> efficiency programs.</w:t>
      </w:r>
      <w:r w:rsidR="00EE1B69" w:rsidRPr="00627DA0">
        <w:t xml:space="preserve"> </w:t>
      </w:r>
    </w:p>
    <w:p w14:paraId="5C6E5913" w14:textId="69F8DEA7" w:rsidR="000A5A0E" w:rsidRPr="00627DA0" w:rsidRDefault="0016469B" w:rsidP="008F66E3">
      <w:r w:rsidRPr="00627DA0">
        <w:fldChar w:fldCharType="begin"/>
      </w:r>
      <w:r w:rsidRPr="00627DA0">
        <w:instrText xml:space="preserve"> REF _Ref60664572 \h </w:instrText>
      </w:r>
      <w:r w:rsidRPr="00627DA0">
        <w:fldChar w:fldCharType="separate"/>
      </w:r>
      <w:r w:rsidR="00431297" w:rsidRPr="00627DA0">
        <w:t>Figure 13</w:t>
      </w:r>
      <w:r w:rsidRPr="00627DA0">
        <w:fldChar w:fldCharType="end"/>
      </w:r>
      <w:r w:rsidR="001C6E33" w:rsidRPr="00627DA0">
        <w:t xml:space="preserve"> shows the supply curve</w:t>
      </w:r>
      <w:r w:rsidR="00DB4FE3" w:rsidRPr="00627DA0">
        <w:t xml:space="preserve"> of achievable potential</w:t>
      </w:r>
      <w:r w:rsidR="00F76AF2" w:rsidRPr="00627DA0">
        <w:t xml:space="preserve"> over the 2</w:t>
      </w:r>
      <w:r w:rsidR="007233E3" w:rsidRPr="00627DA0">
        <w:t>0</w:t>
      </w:r>
      <w:r w:rsidR="00F76AF2" w:rsidRPr="00627DA0">
        <w:t>-year study period</w:t>
      </w:r>
      <w:r w:rsidR="00DB4FE3" w:rsidRPr="00627DA0">
        <w:t xml:space="preserve">. A supply curve depicts the </w:t>
      </w:r>
      <w:r w:rsidR="000641A6" w:rsidRPr="00627DA0">
        <w:t xml:space="preserve">cumulative potential against the levelized cost of energy savings, with </w:t>
      </w:r>
      <w:r w:rsidR="005703DE" w:rsidRPr="00627DA0">
        <w:t>measures</w:t>
      </w:r>
      <w:r w:rsidR="003F116B" w:rsidRPr="00627DA0">
        <w:t xml:space="preserve"> sorted in order of ascending cost. </w:t>
      </w:r>
      <w:r w:rsidR="00963183" w:rsidRPr="00627DA0">
        <w:t xml:space="preserve">No </w:t>
      </w:r>
      <w:r w:rsidR="00100D83" w:rsidRPr="00627DA0">
        <w:t xml:space="preserve">economic screening is applied. </w:t>
      </w:r>
      <w:r w:rsidR="00D71862" w:rsidRPr="00627DA0">
        <w:t xml:space="preserve">Levelized costs </w:t>
      </w:r>
      <w:r w:rsidR="001F6DA9" w:rsidRPr="00627DA0">
        <w:t xml:space="preserve">are used to make the costs comparable </w:t>
      </w:r>
      <w:r w:rsidR="00672C0D" w:rsidRPr="00627DA0">
        <w:t>between measures with different lifetimes</w:t>
      </w:r>
      <w:r w:rsidR="001A5544" w:rsidRPr="00627DA0">
        <w:t xml:space="preserve"> </w:t>
      </w:r>
      <w:r w:rsidR="0031070B" w:rsidRPr="00627DA0">
        <w:t xml:space="preserve">as well as </w:t>
      </w:r>
      <w:r w:rsidR="007B5FFF" w:rsidRPr="00627DA0">
        <w:t xml:space="preserve">with </w:t>
      </w:r>
      <w:r w:rsidR="0031070B" w:rsidRPr="00627DA0">
        <w:t>supply-side resources</w:t>
      </w:r>
      <w:r w:rsidR="003234D9" w:rsidRPr="00627DA0">
        <w:t>. The costs include credits for deferred transmission and distributio</w:t>
      </w:r>
      <w:r w:rsidR="006D59B9" w:rsidRPr="00627DA0">
        <w:t>n system costs</w:t>
      </w:r>
      <w:r w:rsidR="00942578" w:rsidRPr="00627DA0">
        <w:t>,</w:t>
      </w:r>
      <w:r w:rsidR="00E5423D" w:rsidRPr="00627DA0">
        <w:t xml:space="preserve"> </w:t>
      </w:r>
      <w:r w:rsidR="006D59B9" w:rsidRPr="00627DA0">
        <w:t>avoided periodic replacements</w:t>
      </w:r>
      <w:r w:rsidR="00942578" w:rsidRPr="00627DA0">
        <w:t>, and</w:t>
      </w:r>
      <w:r w:rsidR="006D59B9" w:rsidRPr="00627DA0">
        <w:t xml:space="preserve"> non-energy impacts</w:t>
      </w:r>
      <w:r w:rsidR="00384717" w:rsidRPr="00627DA0">
        <w:t xml:space="preserve"> to make them comp</w:t>
      </w:r>
      <w:r w:rsidR="00654BB5" w:rsidRPr="00627DA0">
        <w:t>arable with other resources</w:t>
      </w:r>
      <w:r w:rsidR="00802FE1" w:rsidRPr="00627DA0">
        <w:t xml:space="preserve">. With these credits, some of the </w:t>
      </w:r>
      <w:r w:rsidR="00E30908" w:rsidRPr="00627DA0">
        <w:t>lowest cost</w:t>
      </w:r>
      <w:r w:rsidR="00802FE1" w:rsidRPr="00627DA0">
        <w:t xml:space="preserve"> measures </w:t>
      </w:r>
      <w:r w:rsidR="001A581C" w:rsidRPr="00627DA0">
        <w:t>have a net levelized cost that is negative</w:t>
      </w:r>
      <w:r w:rsidR="008D376F" w:rsidRPr="00627DA0">
        <w:t>, meaning the credits exceed the measure costs</w:t>
      </w:r>
      <w:r w:rsidR="001A581C" w:rsidRPr="00627DA0">
        <w:t>.</w:t>
      </w:r>
    </w:p>
    <w:p w14:paraId="6E4BAB57" w14:textId="40DCC7F0" w:rsidR="00EE1B69" w:rsidRPr="00627DA0" w:rsidRDefault="000F3A63" w:rsidP="000F3A63">
      <w:pPr>
        <w:pStyle w:val="Caption"/>
      </w:pPr>
      <w:bookmarkStart w:id="84" w:name="_Ref60664572"/>
      <w:bookmarkStart w:id="85" w:name="_Ref60664566"/>
      <w:bookmarkStart w:id="86" w:name="_Toc207870712"/>
      <w:r w:rsidRPr="00627DA0">
        <w:t xml:space="preserve">Figure </w:t>
      </w:r>
      <w:fldSimple w:instr=" SEQ Figure \* ARABIC ">
        <w:r w:rsidR="00431297" w:rsidRPr="00627DA0">
          <w:t>13</w:t>
        </w:r>
      </w:fldSimple>
      <w:bookmarkEnd w:id="84"/>
      <w:r w:rsidR="00EE1B69" w:rsidRPr="00627DA0">
        <w:t>: 2</w:t>
      </w:r>
      <w:r w:rsidR="007233E3" w:rsidRPr="00627DA0">
        <w:t>0</w:t>
      </w:r>
      <w:r w:rsidR="00EE1B69" w:rsidRPr="00627DA0">
        <w:t>-Year Supply Curve</w:t>
      </w:r>
      <w:bookmarkEnd w:id="85"/>
      <w:bookmarkEnd w:id="86"/>
    </w:p>
    <w:p w14:paraId="49F2CAA2" w14:textId="2B36D0EF" w:rsidR="00FD1440" w:rsidRPr="00627DA0" w:rsidRDefault="00882A2C" w:rsidP="00157FD4">
      <w:pPr>
        <w:jc w:val="center"/>
      </w:pPr>
      <w:r w:rsidRPr="00627DA0">
        <w:drawing>
          <wp:inline distT="0" distB="0" distL="0" distR="0" wp14:anchorId="2B4C494E" wp14:editId="24772A76">
            <wp:extent cx="5948680" cy="2287954"/>
            <wp:effectExtent l="0" t="0" r="0" b="0"/>
            <wp:docPr id="228995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5514"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1CD29AE0" w14:textId="588C5FFF" w:rsidR="00E811D0" w:rsidRPr="00627DA0" w:rsidRDefault="001F176B" w:rsidP="000D4B4F">
      <w:r w:rsidRPr="00627DA0">
        <w:fldChar w:fldCharType="begin"/>
      </w:r>
      <w:r w:rsidRPr="00627DA0">
        <w:instrText xml:space="preserve"> REF _Ref60664572 \h </w:instrText>
      </w:r>
      <w:r w:rsidRPr="00627DA0">
        <w:fldChar w:fldCharType="separate"/>
      </w:r>
      <w:r w:rsidR="00431297" w:rsidRPr="00627DA0">
        <w:t>Figure 13</w:t>
      </w:r>
      <w:r w:rsidRPr="00627DA0">
        <w:fldChar w:fldCharType="end"/>
      </w:r>
      <w:r w:rsidRPr="00627DA0">
        <w:t xml:space="preserve"> </w:t>
      </w:r>
      <w:r w:rsidR="00ED326C" w:rsidRPr="00627DA0">
        <w:t xml:space="preserve">shows that </w:t>
      </w:r>
      <w:r w:rsidR="00A94FF7" w:rsidRPr="00627DA0">
        <w:t>approximately</w:t>
      </w:r>
      <w:r w:rsidR="00ED326C" w:rsidRPr="00627DA0">
        <w:t xml:space="preserve"> </w:t>
      </w:r>
      <w:r w:rsidR="005703DE" w:rsidRPr="00627DA0">
        <w:t>10</w:t>
      </w:r>
      <w:r w:rsidR="00A94FF7" w:rsidRPr="00627DA0">
        <w:t>0,000</w:t>
      </w:r>
      <w:r w:rsidR="0024685F" w:rsidRPr="00627DA0">
        <w:t xml:space="preserve"> </w:t>
      </w:r>
      <w:r w:rsidR="00962785" w:rsidRPr="00627DA0">
        <w:t>MW</w:t>
      </w:r>
      <w:r w:rsidR="00A94FF7" w:rsidRPr="00627DA0">
        <w:t>h</w:t>
      </w:r>
      <w:r w:rsidR="00962785" w:rsidRPr="00627DA0">
        <w:t xml:space="preserve"> of potential are available at </w:t>
      </w:r>
      <w:r w:rsidR="000A1C02" w:rsidRPr="00627DA0">
        <w:t xml:space="preserve">a </w:t>
      </w:r>
      <w:r w:rsidR="00962785" w:rsidRPr="00627DA0">
        <w:t xml:space="preserve">cost </w:t>
      </w:r>
      <w:r w:rsidR="000A1C02" w:rsidRPr="00627DA0">
        <w:t xml:space="preserve">at or </w:t>
      </w:r>
      <w:r w:rsidR="00962785" w:rsidRPr="00627DA0">
        <w:t xml:space="preserve">below $0/MWh. </w:t>
      </w:r>
      <w:r w:rsidR="00961B49" w:rsidRPr="00627DA0">
        <w:t>Roughly</w:t>
      </w:r>
      <w:r w:rsidR="00575268" w:rsidRPr="00627DA0">
        <w:t xml:space="preserve"> 1</w:t>
      </w:r>
      <w:r w:rsidR="006C0AA4" w:rsidRPr="00627DA0">
        <w:t>85</w:t>
      </w:r>
      <w:r w:rsidR="00575268" w:rsidRPr="00627DA0">
        <w:t>,000</w:t>
      </w:r>
      <w:r w:rsidR="00B50044" w:rsidRPr="00627DA0">
        <w:t xml:space="preserve"> MW</w:t>
      </w:r>
      <w:r w:rsidR="00575268" w:rsidRPr="00627DA0">
        <w:t>h</w:t>
      </w:r>
      <w:r w:rsidR="00B50044" w:rsidRPr="00627DA0">
        <w:t xml:space="preserve"> of achievable potential </w:t>
      </w:r>
      <w:r w:rsidR="00016A32" w:rsidRPr="00627DA0">
        <w:t>are</w:t>
      </w:r>
      <w:r w:rsidR="00573277" w:rsidRPr="00627DA0">
        <w:t xml:space="preserve"> available </w:t>
      </w:r>
      <w:r w:rsidR="001C338C" w:rsidRPr="00627DA0">
        <w:t>for costs below $50/</w:t>
      </w:r>
      <w:r w:rsidR="00D03C45" w:rsidRPr="00627DA0">
        <w:t>MWh</w:t>
      </w:r>
      <w:r w:rsidR="006A2B1D" w:rsidRPr="00627DA0">
        <w:t>.</w:t>
      </w:r>
      <w:r w:rsidR="001C22EB" w:rsidRPr="00627DA0">
        <w:t xml:space="preserve"> In total, there </w:t>
      </w:r>
      <w:r w:rsidR="00A67326" w:rsidRPr="00627DA0">
        <w:t>is</w:t>
      </w:r>
      <w:r w:rsidR="00736445" w:rsidRPr="00627DA0">
        <w:t xml:space="preserve"> </w:t>
      </w:r>
      <w:r w:rsidR="008D71EA" w:rsidRPr="00627DA0">
        <w:t>more than</w:t>
      </w:r>
      <w:r w:rsidR="00421226" w:rsidRPr="00627DA0">
        <w:t xml:space="preserve"> </w:t>
      </w:r>
      <w:r w:rsidR="008D71EA" w:rsidRPr="00627DA0">
        <w:t>2</w:t>
      </w:r>
      <w:r w:rsidR="00225A5A" w:rsidRPr="00627DA0">
        <w:t>44</w:t>
      </w:r>
      <w:r w:rsidR="004C32DB" w:rsidRPr="00627DA0">
        <w:t xml:space="preserve">,000 </w:t>
      </w:r>
      <w:r w:rsidR="00421226" w:rsidRPr="00627DA0">
        <w:t>MW</w:t>
      </w:r>
      <w:r w:rsidR="004C32DB" w:rsidRPr="00627DA0">
        <w:t>h</w:t>
      </w:r>
      <w:r w:rsidR="008B01AC" w:rsidRPr="00627DA0">
        <w:t xml:space="preserve"> </w:t>
      </w:r>
      <w:r w:rsidR="00421226" w:rsidRPr="00627DA0">
        <w:t xml:space="preserve">of </w:t>
      </w:r>
      <w:r w:rsidR="002009AB" w:rsidRPr="00627DA0">
        <w:t>achievable technical</w:t>
      </w:r>
      <w:r w:rsidR="00421226" w:rsidRPr="00627DA0">
        <w:t xml:space="preserve"> potential available in </w:t>
      </w:r>
      <w:r w:rsidR="0032364D" w:rsidRPr="00627DA0">
        <w:t>Inland Power</w:t>
      </w:r>
      <w:r w:rsidR="00421226" w:rsidRPr="00627DA0">
        <w:t>’s service territory over the 2</w:t>
      </w:r>
      <w:r w:rsidR="009E77A4" w:rsidRPr="00627DA0">
        <w:t>0</w:t>
      </w:r>
      <w:r w:rsidR="00421226" w:rsidRPr="00627DA0">
        <w:t>-year study period</w:t>
      </w:r>
      <w:r w:rsidR="00736445" w:rsidRPr="00627DA0">
        <w:t>, but only potential below</w:t>
      </w:r>
      <w:r w:rsidR="003C0FCE" w:rsidRPr="00627DA0">
        <w:t xml:space="preserve"> $200/MWh</w:t>
      </w:r>
      <w:r w:rsidR="00736445" w:rsidRPr="00627DA0">
        <w:t xml:space="preserve"> is shown.</w:t>
      </w:r>
    </w:p>
    <w:p w14:paraId="6276D1FA" w14:textId="67A9D96F" w:rsidR="00117B72" w:rsidRPr="00627DA0" w:rsidRDefault="00117B72" w:rsidP="00117B72">
      <w:r w:rsidRPr="00627DA0">
        <w:t>Supply curves based on levelized cost are limited in that not all energy savings are equally valued. For example, two measures could have the same levelized cost but provide different reductions in peak demand</w:t>
      </w:r>
      <w:r w:rsidR="00010B03" w:rsidRPr="00627DA0">
        <w:t xml:space="preserve"> or</w:t>
      </w:r>
      <w:r w:rsidR="003112D1" w:rsidRPr="00627DA0">
        <w:t xml:space="preserve"> </w:t>
      </w:r>
      <w:r w:rsidR="000B3D0B" w:rsidRPr="00627DA0">
        <w:t xml:space="preserve">deliver energy savings when </w:t>
      </w:r>
      <w:r w:rsidR="00B0192F" w:rsidRPr="00627DA0">
        <w:t>energy costs are more or</w:t>
      </w:r>
      <w:r w:rsidR="00823FB0" w:rsidRPr="00627DA0">
        <w:t xml:space="preserve"> less valuable</w:t>
      </w:r>
      <w:r w:rsidRPr="00627DA0">
        <w:t xml:space="preserve">. An alternative to the supply curve based on levelized cost is one based on the benefit cost ratio. This is shown below in </w:t>
      </w:r>
      <w:r w:rsidRPr="00627DA0">
        <w:fldChar w:fldCharType="begin"/>
      </w:r>
      <w:r w:rsidRPr="00627DA0">
        <w:instrText xml:space="preserve"> REF _Ref69470720 \h </w:instrText>
      </w:r>
      <w:r w:rsidRPr="00627DA0">
        <w:fldChar w:fldCharType="separate"/>
      </w:r>
      <w:r w:rsidR="00431297" w:rsidRPr="00627DA0">
        <w:t>Figure 14</w:t>
      </w:r>
      <w:r w:rsidRPr="00627DA0">
        <w:fldChar w:fldCharType="end"/>
      </w:r>
      <w:r w:rsidRPr="00627DA0">
        <w:t>.</w:t>
      </w:r>
    </w:p>
    <w:p w14:paraId="03625BB6" w14:textId="7777E830" w:rsidR="00117B72" w:rsidRPr="00627DA0" w:rsidRDefault="00117B72" w:rsidP="00117B72">
      <w:pPr>
        <w:pStyle w:val="Caption"/>
      </w:pPr>
      <w:bookmarkStart w:id="87" w:name="_Ref69470720"/>
      <w:bookmarkStart w:id="88" w:name="_Toc140048866"/>
      <w:bookmarkStart w:id="89" w:name="_Toc207870713"/>
      <w:r w:rsidRPr="00627DA0">
        <w:lastRenderedPageBreak/>
        <w:t xml:space="preserve">Figure </w:t>
      </w:r>
      <w:r w:rsidRPr="00627DA0">
        <w:fldChar w:fldCharType="begin"/>
      </w:r>
      <w:r w:rsidRPr="00627DA0">
        <w:instrText>SEQ Figure \* ARABIC</w:instrText>
      </w:r>
      <w:r w:rsidRPr="00627DA0">
        <w:fldChar w:fldCharType="separate"/>
      </w:r>
      <w:r w:rsidR="00431297" w:rsidRPr="00627DA0">
        <w:t>14</w:t>
      </w:r>
      <w:r w:rsidRPr="00627DA0">
        <w:fldChar w:fldCharType="end"/>
      </w:r>
      <w:bookmarkEnd w:id="87"/>
      <w:r w:rsidRPr="00627DA0">
        <w:t>: 20-Year Benefit-Cost Ratio Supply Curve</w:t>
      </w:r>
      <w:bookmarkEnd w:id="88"/>
      <w:bookmarkEnd w:id="89"/>
    </w:p>
    <w:p w14:paraId="6F64FA34" w14:textId="09EFC0DC" w:rsidR="00117B72" w:rsidRPr="00627DA0" w:rsidRDefault="00493739" w:rsidP="00117B72">
      <w:r w:rsidRPr="00627DA0">
        <w:drawing>
          <wp:inline distT="0" distB="0" distL="0" distR="0" wp14:anchorId="474DE16E" wp14:editId="0D08C4EB">
            <wp:extent cx="5948680" cy="2287954"/>
            <wp:effectExtent l="0" t="0" r="0" b="0"/>
            <wp:docPr id="1199371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71715"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0FDF99B9" w14:textId="2D160958" w:rsidR="00117B72" w:rsidRPr="00627DA0" w:rsidRDefault="00117B72" w:rsidP="00117B72">
      <w:r w:rsidRPr="00627DA0">
        <w:fldChar w:fldCharType="begin"/>
      </w:r>
      <w:r w:rsidRPr="00627DA0">
        <w:instrText xml:space="preserve"> REF _Ref69470720 \h </w:instrText>
      </w:r>
      <w:r w:rsidRPr="00627DA0">
        <w:fldChar w:fldCharType="separate"/>
      </w:r>
      <w:r w:rsidR="00431297" w:rsidRPr="00627DA0">
        <w:t>Figure 14</w:t>
      </w:r>
      <w:r w:rsidRPr="00627DA0">
        <w:fldChar w:fldCharType="end"/>
      </w:r>
      <w:r w:rsidRPr="00627DA0">
        <w:t xml:space="preserve"> shows that </w:t>
      </w:r>
      <w:r w:rsidR="0097103E" w:rsidRPr="00627DA0">
        <w:t>approximately</w:t>
      </w:r>
      <w:r w:rsidRPr="00627DA0">
        <w:t xml:space="preserve"> </w:t>
      </w:r>
      <w:r w:rsidR="00672CB6" w:rsidRPr="00627DA0">
        <w:t>4</w:t>
      </w:r>
      <w:r w:rsidR="0097103E" w:rsidRPr="00627DA0">
        <w:t>0,000</w:t>
      </w:r>
      <w:r w:rsidRPr="00627DA0">
        <w:t xml:space="preserve"> MW</w:t>
      </w:r>
      <w:r w:rsidR="0097103E" w:rsidRPr="00627DA0">
        <w:t>h</w:t>
      </w:r>
      <w:r w:rsidRPr="00627DA0">
        <w:t xml:space="preserve"> of savings are available with a benefit-cost ratio of 5 or </w:t>
      </w:r>
      <w:r w:rsidR="00A67326" w:rsidRPr="00627DA0">
        <w:t>more</w:t>
      </w:r>
      <w:r w:rsidRPr="00627DA0">
        <w:t>. These measures deliver benefits that are 5 times their cost</w:t>
      </w:r>
      <w:r w:rsidR="006C2F0F" w:rsidRPr="00627DA0">
        <w:t xml:space="preserve"> over</w:t>
      </w:r>
      <w:r w:rsidR="00B2407C" w:rsidRPr="00627DA0">
        <w:t xml:space="preserve"> their lifetime</w:t>
      </w:r>
      <w:r w:rsidRPr="00627DA0">
        <w:t xml:space="preserve">. The figure includes a dashed line where the benefit-cost ratio is equal to one. There is </w:t>
      </w:r>
      <w:r w:rsidR="00715C66" w:rsidRPr="00627DA0">
        <w:t>over 1</w:t>
      </w:r>
      <w:r w:rsidR="002B3DC1" w:rsidRPr="00627DA0">
        <w:t>89</w:t>
      </w:r>
      <w:r w:rsidR="00715C66" w:rsidRPr="00627DA0">
        <w:t>,000</w:t>
      </w:r>
      <w:r w:rsidRPr="00627DA0">
        <w:t xml:space="preserve"> MW</w:t>
      </w:r>
      <w:r w:rsidR="00715C66" w:rsidRPr="00627DA0">
        <w:t>h</w:t>
      </w:r>
      <w:r w:rsidRPr="00627DA0">
        <w:t xml:space="preserve"> of </w:t>
      </w:r>
      <w:r w:rsidR="003B25A6" w:rsidRPr="00627DA0">
        <w:t xml:space="preserve">cost-effective </w:t>
      </w:r>
      <w:r w:rsidRPr="00627DA0">
        <w:t>savings potential to the left of this line</w:t>
      </w:r>
      <w:r w:rsidR="00E9126F" w:rsidRPr="00627DA0">
        <w:t>, reflecting the 20-year cost-effective potential</w:t>
      </w:r>
      <w:r w:rsidRPr="00627DA0">
        <w:t xml:space="preserve">. </w:t>
      </w:r>
    </w:p>
    <w:p w14:paraId="1019195D" w14:textId="77777777" w:rsidR="00117B72" w:rsidRPr="00627DA0" w:rsidRDefault="00117B72" w:rsidP="00117B72">
      <w:r w:rsidRPr="00627DA0">
        <w:t>The economic or cost-effective potential is described below.</w:t>
      </w:r>
    </w:p>
    <w:p w14:paraId="2DEEBF61" w14:textId="77777777" w:rsidR="00117B72" w:rsidRPr="00627DA0" w:rsidRDefault="00117B72" w:rsidP="00117B72">
      <w:pPr>
        <w:pStyle w:val="Heading2"/>
      </w:pPr>
      <w:bookmarkStart w:id="90" w:name="_Toc140047102"/>
      <w:bookmarkStart w:id="91" w:name="_Toc207870679"/>
      <w:r w:rsidRPr="00627DA0">
        <w:t>Cost-Effective Conservation Potential</w:t>
      </w:r>
      <w:bookmarkEnd w:id="90"/>
      <w:bookmarkEnd w:id="91"/>
    </w:p>
    <w:p w14:paraId="59AC6100" w14:textId="3A429FD1" w:rsidR="00953B00" w:rsidRPr="00627DA0" w:rsidRDefault="000147E2" w:rsidP="00E94DB0">
      <w:r w:rsidRPr="00627DA0">
        <w:fldChar w:fldCharType="begin"/>
      </w:r>
      <w:r w:rsidRPr="00627DA0">
        <w:instrText xml:space="preserve"> REF _Ref60666547 \h </w:instrText>
      </w:r>
      <w:r w:rsidRPr="00627DA0">
        <w:fldChar w:fldCharType="separate"/>
      </w:r>
      <w:r w:rsidR="00431297" w:rsidRPr="00627DA0">
        <w:t>Figure 15</w:t>
      </w:r>
      <w:r w:rsidRPr="00627DA0">
        <w:fldChar w:fldCharType="end"/>
      </w:r>
      <w:r w:rsidR="00813441" w:rsidRPr="00627DA0">
        <w:t xml:space="preserve"> shows the </w:t>
      </w:r>
      <w:r w:rsidR="00820755" w:rsidRPr="00627DA0">
        <w:t>cost-effectiv</w:t>
      </w:r>
      <w:r w:rsidR="00F138C2" w:rsidRPr="00627DA0">
        <w:t xml:space="preserve">e </w:t>
      </w:r>
      <w:r w:rsidR="00813441" w:rsidRPr="00627DA0">
        <w:t>potential by sector on an annual basis.</w:t>
      </w:r>
      <w:r w:rsidR="00C37F08" w:rsidRPr="00627DA0">
        <w:t xml:space="preserve"> </w:t>
      </w:r>
      <w:r w:rsidR="00912233" w:rsidRPr="00627DA0">
        <w:t>Over the 20-year period, m</w:t>
      </w:r>
      <w:r w:rsidR="00C37F08" w:rsidRPr="00627DA0">
        <w:t xml:space="preserve">ost of the potential is in </w:t>
      </w:r>
      <w:r w:rsidR="0032364D" w:rsidRPr="00627DA0">
        <w:t>Inland Power</w:t>
      </w:r>
      <w:r w:rsidR="00C37F08" w:rsidRPr="00627DA0">
        <w:t xml:space="preserve">’s </w:t>
      </w:r>
      <w:r w:rsidR="003D4F28" w:rsidRPr="00627DA0">
        <w:t>residential and commercial sectors.</w:t>
      </w:r>
      <w:r w:rsidR="00C37F08" w:rsidRPr="00627DA0">
        <w:t xml:space="preserve"> </w:t>
      </w:r>
    </w:p>
    <w:p w14:paraId="0EA952D1" w14:textId="36882C9D" w:rsidR="001973B1" w:rsidRPr="00627DA0" w:rsidRDefault="000147E2" w:rsidP="000147E2">
      <w:pPr>
        <w:pStyle w:val="Caption"/>
      </w:pPr>
      <w:bookmarkStart w:id="92" w:name="_Ref60666547"/>
      <w:bookmarkStart w:id="93" w:name="_Toc207870714"/>
      <w:r w:rsidRPr="00627DA0">
        <w:t xml:space="preserve">Figure </w:t>
      </w:r>
      <w:fldSimple w:instr=" SEQ Figure \* ARABIC ">
        <w:r w:rsidR="00431297" w:rsidRPr="00627DA0">
          <w:t>15</w:t>
        </w:r>
      </w:fldSimple>
      <w:bookmarkEnd w:id="92"/>
      <w:r w:rsidRPr="00627DA0">
        <w:t>:</w:t>
      </w:r>
      <w:r w:rsidR="001973B1" w:rsidRPr="00627DA0">
        <w:t xml:space="preserve"> Annual </w:t>
      </w:r>
      <w:r w:rsidR="00820755" w:rsidRPr="00627DA0">
        <w:t>Cost-Effectiv</w:t>
      </w:r>
      <w:r w:rsidR="00F138C2" w:rsidRPr="00627DA0">
        <w:t xml:space="preserve">e </w:t>
      </w:r>
      <w:r w:rsidR="001973B1" w:rsidRPr="00627DA0">
        <w:t>Potential by Sector</w:t>
      </w:r>
      <w:bookmarkEnd w:id="93"/>
    </w:p>
    <w:p w14:paraId="53B60E3A" w14:textId="0993B053" w:rsidR="003E4026" w:rsidRPr="00627DA0" w:rsidRDefault="00CC2338" w:rsidP="003E4026">
      <w:r w:rsidRPr="00627DA0">
        <w:drawing>
          <wp:inline distT="0" distB="0" distL="0" distR="0" wp14:anchorId="1B0469E8" wp14:editId="20F4FC6D">
            <wp:extent cx="5948680" cy="2287954"/>
            <wp:effectExtent l="0" t="0" r="0" b="0"/>
            <wp:docPr id="18079679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67963"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1E4C87FF" w14:textId="2B2C0EC2" w:rsidR="009769BF" w:rsidRPr="00627DA0" w:rsidRDefault="00446A22" w:rsidP="003E4026">
      <w:r w:rsidRPr="00627DA0">
        <w:t>T</w:t>
      </w:r>
      <w:r w:rsidR="00C30A82" w:rsidRPr="00627DA0">
        <w:t>he project team</w:t>
      </w:r>
      <w:r w:rsidR="004105D9" w:rsidRPr="00627DA0">
        <w:t xml:space="preserve"> used the r</w:t>
      </w:r>
      <w:r w:rsidR="00A73414" w:rsidRPr="00627DA0">
        <w:t xml:space="preserve">amp rates from the </w:t>
      </w:r>
      <w:r w:rsidR="00B21125" w:rsidRPr="00627DA0">
        <w:t>2021</w:t>
      </w:r>
      <w:r w:rsidR="00A73414" w:rsidRPr="00627DA0">
        <w:t xml:space="preserve"> Power Plan </w:t>
      </w:r>
      <w:r w:rsidR="004105D9" w:rsidRPr="00627DA0">
        <w:t>t</w:t>
      </w:r>
      <w:r w:rsidR="004A4136" w:rsidRPr="00627DA0">
        <w:t xml:space="preserve">o establish reasonable rates of acquisition for all </w:t>
      </w:r>
      <w:r w:rsidR="004105D9" w:rsidRPr="00627DA0">
        <w:t xml:space="preserve">measures and </w:t>
      </w:r>
      <w:r w:rsidR="004A4136" w:rsidRPr="00627DA0">
        <w:t>sectors</w:t>
      </w:r>
      <w:r w:rsidR="00FA082D" w:rsidRPr="00627DA0">
        <w:t xml:space="preserve">. </w:t>
      </w:r>
      <w:r w:rsidR="00B9738F" w:rsidRPr="00627DA0">
        <w:t>T</w:t>
      </w:r>
      <w:r w:rsidR="00C30A82" w:rsidRPr="00627DA0">
        <w:t>he project team</w:t>
      </w:r>
      <w:r w:rsidR="00B21125" w:rsidRPr="00627DA0">
        <w:t xml:space="preserve"> </w:t>
      </w:r>
      <w:r w:rsidR="00204530" w:rsidRPr="00627DA0">
        <w:t>assigned</w:t>
      </w:r>
      <w:r w:rsidR="00927846" w:rsidRPr="00627DA0">
        <w:t xml:space="preserve"> </w:t>
      </w:r>
      <w:r w:rsidR="00FA082D" w:rsidRPr="00627DA0">
        <w:t xml:space="preserve">ramp rates </w:t>
      </w:r>
      <w:r w:rsidR="003E057B" w:rsidRPr="00627DA0">
        <w:t xml:space="preserve">to individual measures in order to </w:t>
      </w:r>
      <w:r w:rsidR="00FA082D" w:rsidRPr="00627DA0">
        <w:t xml:space="preserve">align </w:t>
      </w:r>
      <w:r w:rsidR="00B82142" w:rsidRPr="00627DA0">
        <w:t xml:space="preserve">the </w:t>
      </w:r>
      <w:r w:rsidR="00466FF4" w:rsidRPr="00627DA0">
        <w:t>near-term</w:t>
      </w:r>
      <w:r w:rsidR="00FA082D" w:rsidRPr="00627DA0">
        <w:t xml:space="preserve"> potential with recent and expected savings</w:t>
      </w:r>
      <w:r w:rsidR="005B7C5F" w:rsidRPr="00627DA0">
        <w:t xml:space="preserve"> in each sector</w:t>
      </w:r>
      <w:r w:rsidR="00B052EA" w:rsidRPr="00627DA0">
        <w:t xml:space="preserve">. </w:t>
      </w:r>
      <w:r w:rsidR="00611FAF" w:rsidRPr="00627DA0">
        <w:t xml:space="preserve">Appendix </w:t>
      </w:r>
      <w:r w:rsidR="001C2A00" w:rsidRPr="00627DA0">
        <w:t>VII</w:t>
      </w:r>
      <w:r w:rsidR="00611FAF" w:rsidRPr="00627DA0">
        <w:t xml:space="preserve"> has more detail on the alignment of ramp rates with program expectations.</w:t>
      </w:r>
    </w:p>
    <w:p w14:paraId="21D7EE31" w14:textId="055F8924" w:rsidR="00C331AC" w:rsidRPr="00627DA0" w:rsidRDefault="00C331AC" w:rsidP="003E4026">
      <w:r w:rsidRPr="00627DA0">
        <w:t xml:space="preserve">The sections below describe the </w:t>
      </w:r>
      <w:r w:rsidR="006C260C" w:rsidRPr="00627DA0">
        <w:t>achievable potential within each sector.</w:t>
      </w:r>
    </w:p>
    <w:p w14:paraId="0FCAAC94" w14:textId="0E5EC737" w:rsidR="00611FAF" w:rsidRPr="00627DA0" w:rsidRDefault="006C7D63" w:rsidP="00CD4AFF">
      <w:pPr>
        <w:pStyle w:val="Heading3"/>
      </w:pPr>
      <w:r w:rsidRPr="00627DA0">
        <w:lastRenderedPageBreak/>
        <w:t>Residential</w:t>
      </w:r>
    </w:p>
    <w:p w14:paraId="650D3A95" w14:textId="225E7B99" w:rsidR="006C7D63" w:rsidRPr="00627DA0" w:rsidRDefault="00762929" w:rsidP="006C7D63">
      <w:r w:rsidRPr="00627DA0">
        <w:t>Relative to the 202</w:t>
      </w:r>
      <w:r w:rsidR="00EA05C8" w:rsidRPr="00627DA0">
        <w:t>3</w:t>
      </w:r>
      <w:r w:rsidRPr="00627DA0">
        <w:t xml:space="preserve"> CPA, t</w:t>
      </w:r>
      <w:r w:rsidR="00B30463" w:rsidRPr="00627DA0">
        <w:t xml:space="preserve">he </w:t>
      </w:r>
      <w:r w:rsidR="006754DE" w:rsidRPr="00627DA0">
        <w:t>cost-effective</w:t>
      </w:r>
      <w:r w:rsidR="000A6706" w:rsidRPr="00627DA0">
        <w:t xml:space="preserve"> </w:t>
      </w:r>
      <w:r w:rsidR="00B30463" w:rsidRPr="00627DA0">
        <w:t xml:space="preserve">potential in the residential sector </w:t>
      </w:r>
      <w:r w:rsidR="00816A60" w:rsidRPr="00627DA0">
        <w:t xml:space="preserve">has </w:t>
      </w:r>
      <w:r w:rsidR="00CD1C27" w:rsidRPr="00627DA0">
        <w:t>de</w:t>
      </w:r>
      <w:r w:rsidR="00A51637" w:rsidRPr="00627DA0">
        <w:t>creased</w:t>
      </w:r>
      <w:r w:rsidRPr="00627DA0">
        <w:t xml:space="preserve">. </w:t>
      </w:r>
      <w:r w:rsidR="00781227" w:rsidRPr="00627DA0">
        <w:t>Despite increases in the number of homes and projected growth rate</w:t>
      </w:r>
      <w:r w:rsidR="00513504" w:rsidRPr="00627DA0">
        <w:t xml:space="preserve"> </w:t>
      </w:r>
      <w:r w:rsidR="004D7A4C" w:rsidRPr="00627DA0">
        <w:t>lower avoided costs</w:t>
      </w:r>
      <w:r w:rsidR="00EB5913" w:rsidRPr="00627DA0">
        <w:t xml:space="preserve"> and updated measure assumptions</w:t>
      </w:r>
      <w:r w:rsidR="00E97965" w:rsidRPr="00627DA0">
        <w:t xml:space="preserve"> have resulted in less cost-effective potential</w:t>
      </w:r>
      <w:r w:rsidR="00EB5913" w:rsidRPr="00627DA0">
        <w:t>.</w:t>
      </w:r>
    </w:p>
    <w:p w14:paraId="1ED87CE2" w14:textId="16A17311" w:rsidR="00092B50" w:rsidRPr="00627DA0" w:rsidRDefault="00C23D84" w:rsidP="00092B50">
      <w:r w:rsidRPr="00627DA0">
        <w:fldChar w:fldCharType="begin"/>
      </w:r>
      <w:r w:rsidRPr="00627DA0">
        <w:instrText xml:space="preserve"> REF _Ref60667495 \h </w:instrText>
      </w:r>
      <w:r w:rsidRPr="00627DA0">
        <w:fldChar w:fldCharType="separate"/>
      </w:r>
      <w:r w:rsidR="00431297" w:rsidRPr="00627DA0">
        <w:t>Figure 16</w:t>
      </w:r>
      <w:r w:rsidRPr="00627DA0">
        <w:fldChar w:fldCharType="end"/>
      </w:r>
      <w:r w:rsidRPr="00627DA0">
        <w:t xml:space="preserve"> </w:t>
      </w:r>
      <w:r w:rsidR="004905F8" w:rsidRPr="00627DA0">
        <w:t xml:space="preserve">shows the </w:t>
      </w:r>
      <w:r w:rsidR="006754DE" w:rsidRPr="00627DA0">
        <w:t>cost-effective</w:t>
      </w:r>
      <w:r w:rsidR="00F44E65" w:rsidRPr="00627DA0">
        <w:t xml:space="preserve"> </w:t>
      </w:r>
      <w:r w:rsidR="004905F8" w:rsidRPr="00627DA0">
        <w:t>potential by end use</w:t>
      </w:r>
      <w:r w:rsidRPr="00627DA0">
        <w:t xml:space="preserve"> for the first 10 years of the study period</w:t>
      </w:r>
      <w:r w:rsidR="004905F8" w:rsidRPr="00627DA0">
        <w:t xml:space="preserve">. HVAC measures (including weatherization) make up </w:t>
      </w:r>
      <w:r w:rsidR="00684BC8" w:rsidRPr="00627DA0">
        <w:t>43</w:t>
      </w:r>
      <w:r w:rsidR="0049332F" w:rsidRPr="00627DA0">
        <w:t>%</w:t>
      </w:r>
      <w:r w:rsidR="004905F8" w:rsidRPr="00627DA0">
        <w:t xml:space="preserve"> of </w:t>
      </w:r>
      <w:r w:rsidR="00FB0212" w:rsidRPr="00627DA0">
        <w:t xml:space="preserve">the </w:t>
      </w:r>
      <w:r w:rsidR="004905F8" w:rsidRPr="00627DA0">
        <w:t>potential in the sector</w:t>
      </w:r>
      <w:r w:rsidR="00953347" w:rsidRPr="00627DA0">
        <w:t xml:space="preserve">, followed by </w:t>
      </w:r>
      <w:r w:rsidR="001D6A44" w:rsidRPr="00627DA0">
        <w:t>appliances</w:t>
      </w:r>
      <w:r w:rsidR="009334F7" w:rsidRPr="00627DA0">
        <w:t xml:space="preserve"> (</w:t>
      </w:r>
      <w:r w:rsidR="00B209F9" w:rsidRPr="00627DA0">
        <w:t>2</w:t>
      </w:r>
      <w:r w:rsidR="001D6A44" w:rsidRPr="00627DA0">
        <w:t>5</w:t>
      </w:r>
      <w:r w:rsidR="009334F7" w:rsidRPr="00627DA0">
        <w:t>%)</w:t>
      </w:r>
      <w:r w:rsidR="00953347" w:rsidRPr="00627DA0">
        <w:t xml:space="preserve">, </w:t>
      </w:r>
      <w:r w:rsidR="001D6A44" w:rsidRPr="00627DA0">
        <w:t>water heating</w:t>
      </w:r>
      <w:r w:rsidR="00817109" w:rsidRPr="00627DA0">
        <w:t xml:space="preserve"> (</w:t>
      </w:r>
      <w:r w:rsidR="00FB0212" w:rsidRPr="00627DA0">
        <w:t>2</w:t>
      </w:r>
      <w:r w:rsidR="001D6A44" w:rsidRPr="00627DA0">
        <w:t>3</w:t>
      </w:r>
      <w:r w:rsidR="00817109" w:rsidRPr="00627DA0">
        <w:t xml:space="preserve">%), </w:t>
      </w:r>
      <w:r w:rsidR="00535CAF" w:rsidRPr="00627DA0">
        <w:t>lighting (</w:t>
      </w:r>
      <w:r w:rsidR="00466464" w:rsidRPr="00627DA0">
        <w:t>4</w:t>
      </w:r>
      <w:r w:rsidR="00535CAF" w:rsidRPr="00627DA0">
        <w:t xml:space="preserve">%), and </w:t>
      </w:r>
      <w:r w:rsidR="00953347" w:rsidRPr="00627DA0">
        <w:t>electronics</w:t>
      </w:r>
      <w:r w:rsidR="009334F7" w:rsidRPr="00627DA0">
        <w:t xml:space="preserve"> </w:t>
      </w:r>
      <w:r w:rsidR="00DF6352" w:rsidRPr="00627DA0">
        <w:t>(</w:t>
      </w:r>
      <w:r w:rsidR="000B2732" w:rsidRPr="00627DA0">
        <w:t>4</w:t>
      </w:r>
      <w:r w:rsidR="00DF6352" w:rsidRPr="00627DA0">
        <w:t>%)</w:t>
      </w:r>
      <w:r w:rsidR="00535CAF" w:rsidRPr="00627DA0">
        <w:t>.</w:t>
      </w:r>
      <w:r w:rsidR="0087427D" w:rsidRPr="00627DA0">
        <w:t xml:space="preserve"> </w:t>
      </w:r>
      <w:r w:rsidR="00092B50" w:rsidRPr="00627DA0">
        <w:t xml:space="preserve">In </w:t>
      </w:r>
      <w:r w:rsidR="00092B50" w:rsidRPr="00627DA0">
        <w:fldChar w:fldCharType="begin"/>
      </w:r>
      <w:r w:rsidR="00092B50" w:rsidRPr="00627DA0">
        <w:instrText xml:space="preserve"> REF _Ref48658544 \h </w:instrText>
      </w:r>
      <w:r w:rsidR="00092B50" w:rsidRPr="00627DA0">
        <w:fldChar w:fldCharType="separate"/>
      </w:r>
      <w:r w:rsidR="00431297" w:rsidRPr="00627DA0">
        <w:t>Figure 16</w:t>
      </w:r>
      <w:r w:rsidR="00092B50" w:rsidRPr="00627DA0">
        <w:fldChar w:fldCharType="end"/>
      </w:r>
      <w:r w:rsidR="00092B50" w:rsidRPr="00627DA0">
        <w:t xml:space="preserve">, the other end use category </w:t>
      </w:r>
      <w:r w:rsidR="001849F3" w:rsidRPr="00627DA0">
        <w:t xml:space="preserve">primarily </w:t>
      </w:r>
      <w:r w:rsidR="00092B50" w:rsidRPr="00627DA0">
        <w:t xml:space="preserve">includes </w:t>
      </w:r>
      <w:r w:rsidR="001849F3" w:rsidRPr="00627DA0">
        <w:t xml:space="preserve">cooking </w:t>
      </w:r>
      <w:r w:rsidR="00092B50" w:rsidRPr="00627DA0">
        <w:t>measures</w:t>
      </w:r>
      <w:r w:rsidR="001849F3" w:rsidRPr="00627DA0">
        <w:t>.</w:t>
      </w:r>
    </w:p>
    <w:p w14:paraId="6B1CBD21" w14:textId="69284E50" w:rsidR="001C72A2" w:rsidRPr="00627DA0" w:rsidRDefault="001C72A2" w:rsidP="001C72A2">
      <w:pPr>
        <w:pStyle w:val="Caption"/>
      </w:pPr>
      <w:bookmarkStart w:id="94" w:name="_Ref48658544"/>
      <w:bookmarkStart w:id="95" w:name="_Ref60667495"/>
      <w:bookmarkStart w:id="96" w:name="_Toc207870715"/>
      <w:r w:rsidRPr="00627DA0">
        <w:t xml:space="preserve">Figure </w:t>
      </w:r>
      <w:fldSimple w:instr=" SEQ Figure \* ARABIC ">
        <w:r w:rsidR="00431297" w:rsidRPr="00627DA0">
          <w:t>16</w:t>
        </w:r>
      </w:fldSimple>
      <w:bookmarkEnd w:id="94"/>
      <w:bookmarkEnd w:id="95"/>
      <w:r w:rsidRPr="00627DA0">
        <w:t>: Annual Residential Potential by End Use</w:t>
      </w:r>
      <w:bookmarkEnd w:id="96"/>
    </w:p>
    <w:p w14:paraId="489080E4" w14:textId="79EF92E2" w:rsidR="001C72A2" w:rsidRPr="00627DA0" w:rsidRDefault="00E97965" w:rsidP="001C72A2">
      <w:pPr>
        <w:jc w:val="center"/>
      </w:pPr>
      <w:r w:rsidRPr="00627DA0">
        <w:drawing>
          <wp:inline distT="0" distB="0" distL="0" distR="0" wp14:anchorId="75FDDD92" wp14:editId="56EEC47E">
            <wp:extent cx="5948680" cy="2287954"/>
            <wp:effectExtent l="0" t="0" r="0" b="0"/>
            <wp:docPr id="267212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271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4040BD05" w14:textId="3975D9A0" w:rsidR="00033427" w:rsidRPr="00627DA0" w:rsidRDefault="009216B4" w:rsidP="004905F8">
      <w:r w:rsidRPr="00627DA0">
        <w:t xml:space="preserve">The potential grows </w:t>
      </w:r>
      <w:r w:rsidR="00154BFE" w:rsidRPr="00627DA0">
        <w:t xml:space="preserve">through </w:t>
      </w:r>
      <w:r w:rsidRPr="00627DA0">
        <w:t xml:space="preserve">the </w:t>
      </w:r>
      <w:r w:rsidR="00F17B71" w:rsidRPr="00627DA0">
        <w:t xml:space="preserve">initial years of the study as the expected market share of </w:t>
      </w:r>
      <w:r w:rsidR="005A1CEC" w:rsidRPr="00627DA0">
        <w:t xml:space="preserve">efficient equipment </w:t>
      </w:r>
      <w:r w:rsidR="0055280A" w:rsidRPr="00627DA0">
        <w:t xml:space="preserve">increases along with </w:t>
      </w:r>
      <w:r w:rsidR="00034C9E" w:rsidRPr="00627DA0">
        <w:t xml:space="preserve">increases in </w:t>
      </w:r>
      <w:r w:rsidR="007074DB" w:rsidRPr="00627DA0">
        <w:t>the rate of</w:t>
      </w:r>
      <w:r w:rsidR="00B84A10" w:rsidRPr="00627DA0">
        <w:t xml:space="preserve"> </w:t>
      </w:r>
      <w:r w:rsidR="0055280A" w:rsidRPr="00627DA0">
        <w:t>the a</w:t>
      </w:r>
      <w:r w:rsidR="00034C9E" w:rsidRPr="00627DA0">
        <w:t>cquisit</w:t>
      </w:r>
      <w:r w:rsidR="0055280A" w:rsidRPr="00627DA0">
        <w:t xml:space="preserve">ion of </w:t>
      </w:r>
      <w:r w:rsidR="00B84A10" w:rsidRPr="00627DA0">
        <w:t xml:space="preserve">retrofit measures, like attic insulation, which can be achieved at any time. </w:t>
      </w:r>
    </w:p>
    <w:p w14:paraId="34098285" w14:textId="3CD6921C" w:rsidR="00D87F46" w:rsidRPr="00627DA0" w:rsidRDefault="008C7713" w:rsidP="004905F8">
      <w:r w:rsidRPr="00627DA0">
        <w:t>Note that s</w:t>
      </w:r>
      <w:r w:rsidR="00D87F46" w:rsidRPr="00627DA0">
        <w:t xml:space="preserve">ome </w:t>
      </w:r>
      <w:r w:rsidRPr="00627DA0">
        <w:t xml:space="preserve">residential </w:t>
      </w:r>
      <w:r w:rsidR="00D87F46" w:rsidRPr="00627DA0">
        <w:t>measures</w:t>
      </w:r>
      <w:r w:rsidRPr="00627DA0">
        <w:t>,</w:t>
      </w:r>
      <w:r w:rsidR="00D87F46" w:rsidRPr="00627DA0">
        <w:t xml:space="preserve"> such as smart thermostats and heat pump water heaters can provide </w:t>
      </w:r>
      <w:r w:rsidR="00A14BCD" w:rsidRPr="00627DA0">
        <w:t>benefits as both energy efficiency and demand response</w:t>
      </w:r>
      <w:r w:rsidR="00D87F46" w:rsidRPr="00627DA0">
        <w:t xml:space="preserve"> resources. </w:t>
      </w:r>
      <w:r w:rsidR="009C51F4" w:rsidRPr="00627DA0">
        <w:t>D</w:t>
      </w:r>
      <w:r w:rsidR="006D7A0E" w:rsidRPr="00627DA0">
        <w:t>emand response</w:t>
      </w:r>
      <w:r w:rsidR="00D87F46" w:rsidRPr="00627DA0">
        <w:t xml:space="preserve"> benefits were not included in this </w:t>
      </w:r>
      <w:r w:rsidR="0038773B" w:rsidRPr="00627DA0">
        <w:t>CPA</w:t>
      </w:r>
      <w:r w:rsidR="00110D22" w:rsidRPr="00627DA0">
        <w:t>. The decision to use them as demand response resources was treated as an incremental decision</w:t>
      </w:r>
      <w:r w:rsidR="009C51F4" w:rsidRPr="00627DA0">
        <w:t xml:space="preserve"> and included in </w:t>
      </w:r>
      <w:r w:rsidR="0032364D" w:rsidRPr="00627DA0">
        <w:t>Inland Power</w:t>
      </w:r>
      <w:r w:rsidR="009C51F4" w:rsidRPr="00627DA0">
        <w:t>’s Demand Response Potential Assessment</w:t>
      </w:r>
      <w:r w:rsidR="00110D22" w:rsidRPr="00627DA0">
        <w:t xml:space="preserve">, </w:t>
      </w:r>
      <w:r w:rsidR="0036507B" w:rsidRPr="00627DA0">
        <w:t xml:space="preserve">although energy efficiency programs can help build a stock of </w:t>
      </w:r>
      <w:r w:rsidR="004D7B0A" w:rsidRPr="00627DA0">
        <w:t xml:space="preserve">flexible </w:t>
      </w:r>
      <w:r w:rsidR="0027056C" w:rsidRPr="00627DA0">
        <w:t xml:space="preserve">equipment that could be called upon </w:t>
      </w:r>
      <w:r w:rsidR="004D7B0A" w:rsidRPr="00627DA0">
        <w:t xml:space="preserve">in the future </w:t>
      </w:r>
      <w:r w:rsidR="00145D6B" w:rsidRPr="00627DA0">
        <w:t>through</w:t>
      </w:r>
      <w:r w:rsidR="0027056C" w:rsidRPr="00627DA0">
        <w:t xml:space="preserve"> demand response programs.</w:t>
      </w:r>
    </w:p>
    <w:p w14:paraId="721F828E" w14:textId="6F0C425F" w:rsidR="009E6286" w:rsidRPr="00627DA0" w:rsidRDefault="009027F3">
      <w:r w:rsidRPr="00627DA0">
        <w:fldChar w:fldCharType="begin"/>
      </w:r>
      <w:r w:rsidRPr="00627DA0">
        <w:instrText xml:space="preserve"> REF _Ref60668751 \h </w:instrText>
      </w:r>
      <w:r w:rsidRPr="00627DA0">
        <w:fldChar w:fldCharType="separate"/>
      </w:r>
      <w:r w:rsidR="00431297" w:rsidRPr="00627DA0">
        <w:t>Figure 17</w:t>
      </w:r>
      <w:r w:rsidRPr="00627DA0">
        <w:fldChar w:fldCharType="end"/>
      </w:r>
      <w:r w:rsidRPr="00627DA0">
        <w:t xml:space="preserve"> </w:t>
      </w:r>
      <w:r w:rsidR="00615B3E" w:rsidRPr="00627DA0">
        <w:t xml:space="preserve">shows how the 10-year potential breaks down into end uses and measure </w:t>
      </w:r>
      <w:r w:rsidR="00DD25D8" w:rsidRPr="00627DA0">
        <w:t xml:space="preserve">categories. The area of each block represents </w:t>
      </w:r>
      <w:r w:rsidR="00D20611" w:rsidRPr="00627DA0">
        <w:t>the</w:t>
      </w:r>
      <w:r w:rsidR="00DD25D8" w:rsidRPr="00627DA0">
        <w:t xml:space="preserve"> share of the total 10-year residential potential.</w:t>
      </w:r>
      <w:r w:rsidR="009E6286" w:rsidRPr="00627DA0">
        <w:t xml:space="preserve"> </w:t>
      </w:r>
      <w:r w:rsidR="00C06930" w:rsidRPr="00627DA0">
        <w:t>S</w:t>
      </w:r>
      <w:r w:rsidR="00EC0B12" w:rsidRPr="00627DA0">
        <w:t>mart thermostats</w:t>
      </w:r>
      <w:r w:rsidR="00247379" w:rsidRPr="00627DA0">
        <w:t xml:space="preserve">, </w:t>
      </w:r>
      <w:r w:rsidR="00C06930" w:rsidRPr="00627DA0">
        <w:t xml:space="preserve">air source heat pumps (ASHP), </w:t>
      </w:r>
      <w:r w:rsidR="00066C23" w:rsidRPr="00627DA0">
        <w:t xml:space="preserve">and </w:t>
      </w:r>
      <w:r w:rsidR="00C06930" w:rsidRPr="00627DA0">
        <w:t>weatherization measures</w:t>
      </w:r>
      <w:r w:rsidR="009E6286" w:rsidRPr="00627DA0">
        <w:t xml:space="preserve"> make up </w:t>
      </w:r>
      <w:r w:rsidR="004A75EF" w:rsidRPr="00627DA0">
        <w:t xml:space="preserve">most of </w:t>
      </w:r>
      <w:r w:rsidR="009E6286" w:rsidRPr="00627DA0">
        <w:t xml:space="preserve">the </w:t>
      </w:r>
      <w:r w:rsidR="004A75EF" w:rsidRPr="00627DA0">
        <w:t xml:space="preserve">potential in the HVAC end use, </w:t>
      </w:r>
      <w:r w:rsidR="007E2A5E" w:rsidRPr="00627DA0">
        <w:t>while</w:t>
      </w:r>
      <w:r w:rsidR="00825FA3" w:rsidRPr="00627DA0">
        <w:t xml:space="preserve"> </w:t>
      </w:r>
      <w:r w:rsidR="007E2A5E" w:rsidRPr="00627DA0">
        <w:t>heat pump water heaters</w:t>
      </w:r>
      <w:r w:rsidR="00EC0B12" w:rsidRPr="00627DA0">
        <w:t xml:space="preserve"> </w:t>
      </w:r>
      <w:r w:rsidR="00012F71" w:rsidRPr="00627DA0">
        <w:t xml:space="preserve">(HPWH) </w:t>
      </w:r>
      <w:r w:rsidR="007E2A5E" w:rsidRPr="00627DA0">
        <w:t xml:space="preserve">are the key </w:t>
      </w:r>
      <w:r w:rsidR="00A67326" w:rsidRPr="00627DA0">
        <w:t>measure</w:t>
      </w:r>
      <w:r w:rsidR="000F72B9" w:rsidRPr="00627DA0">
        <w:t xml:space="preserve"> in the water heating end use</w:t>
      </w:r>
      <w:r w:rsidR="00825FA3" w:rsidRPr="00627DA0">
        <w:t>.</w:t>
      </w:r>
      <w:bookmarkStart w:id="97" w:name="_Ref48658898"/>
      <w:r w:rsidR="000F72B9" w:rsidRPr="00627DA0">
        <w:t xml:space="preserve"> The appliance category includes clothes washers, dryers, </w:t>
      </w:r>
      <w:r w:rsidR="00614AE5" w:rsidRPr="00627DA0">
        <w:t>refrigerators,</w:t>
      </w:r>
      <w:r w:rsidR="00553C0D" w:rsidRPr="00627DA0">
        <w:t xml:space="preserve"> and freezers.</w:t>
      </w:r>
      <w:r w:rsidR="003163A1" w:rsidRPr="00627DA0">
        <w:t xml:space="preserve"> </w:t>
      </w:r>
    </w:p>
    <w:p w14:paraId="43C2C20D" w14:textId="5E379ED5" w:rsidR="00B24E8E" w:rsidRPr="00627DA0" w:rsidRDefault="00B24E8E">
      <w:r w:rsidRPr="00627DA0">
        <w:t>The project team included incentives from IRA programs in the ASHP costs</w:t>
      </w:r>
      <w:r w:rsidR="00575188" w:rsidRPr="00627DA0">
        <w:t xml:space="preserve">, improving the cost-effectiveness of this measure, especially relative to prior CPAs. </w:t>
      </w:r>
      <w:r w:rsidR="00553C0D" w:rsidRPr="00627DA0">
        <w:t>D</w:t>
      </w:r>
      <w:r w:rsidR="00575188" w:rsidRPr="00627DA0">
        <w:t xml:space="preserve">uctless heat pumps were not cost-effective after </w:t>
      </w:r>
      <w:r w:rsidR="00AE6FF9" w:rsidRPr="00627DA0">
        <w:t>updating the measure with the latest RTF assumptions.</w:t>
      </w:r>
    </w:p>
    <w:p w14:paraId="423D21CE" w14:textId="4C7315C2" w:rsidR="004B00BA" w:rsidRPr="00627DA0" w:rsidRDefault="004B00BA">
      <w:r w:rsidRPr="00627DA0">
        <w:t xml:space="preserve">Beginning in 2029, </w:t>
      </w:r>
      <w:r w:rsidR="00393BDA" w:rsidRPr="00627DA0">
        <w:t>heat pump water heaters</w:t>
      </w:r>
      <w:r w:rsidRPr="00627DA0">
        <w:t xml:space="preserve"> are subject to a </w:t>
      </w:r>
      <w:r w:rsidR="00E01366" w:rsidRPr="00627DA0">
        <w:t xml:space="preserve">federal standard that will require </w:t>
      </w:r>
      <w:r w:rsidR="00393BDA" w:rsidRPr="00627DA0">
        <w:t>the technology</w:t>
      </w:r>
      <w:r w:rsidR="00E01366" w:rsidRPr="00627DA0">
        <w:t xml:space="preserve"> for many common tank sizes</w:t>
      </w:r>
      <w:r w:rsidR="00C1005F" w:rsidRPr="00627DA0">
        <w:t xml:space="preserve">. </w:t>
      </w:r>
      <w:r w:rsidR="00003B8C" w:rsidRPr="00627DA0">
        <w:t>As</w:t>
      </w:r>
      <w:r w:rsidR="00C1005F" w:rsidRPr="00627DA0">
        <w:t xml:space="preserve"> there are </w:t>
      </w:r>
      <w:r w:rsidR="00A17795" w:rsidRPr="00627DA0">
        <w:t>questions on possible loopholes</w:t>
      </w:r>
      <w:r w:rsidR="00ED2847" w:rsidRPr="00627DA0">
        <w:t xml:space="preserve"> that</w:t>
      </w:r>
      <w:r w:rsidR="00C30AFC" w:rsidRPr="00627DA0">
        <w:t xml:space="preserve"> leav</w:t>
      </w:r>
      <w:r w:rsidR="00ED2847" w:rsidRPr="00627DA0">
        <w:t>e</w:t>
      </w:r>
      <w:r w:rsidR="00C30AFC" w:rsidRPr="00627DA0">
        <w:t xml:space="preserve"> </w:t>
      </w:r>
      <w:r w:rsidR="00C30AFC" w:rsidRPr="00627DA0">
        <w:lastRenderedPageBreak/>
        <w:t xml:space="preserve">the </w:t>
      </w:r>
      <w:r w:rsidR="00ED2847" w:rsidRPr="00627DA0">
        <w:t xml:space="preserve">future </w:t>
      </w:r>
      <w:r w:rsidR="00C30AFC" w:rsidRPr="00627DA0">
        <w:t xml:space="preserve">role of </w:t>
      </w:r>
      <w:r w:rsidR="00ED2847" w:rsidRPr="00627DA0">
        <w:t xml:space="preserve">utility </w:t>
      </w:r>
      <w:r w:rsidR="00C30AFC" w:rsidRPr="00627DA0">
        <w:t>programs in question</w:t>
      </w:r>
      <w:r w:rsidR="00E46E6D" w:rsidRPr="00627DA0">
        <w:t xml:space="preserve">, </w:t>
      </w:r>
      <w:r w:rsidR="00C30A82" w:rsidRPr="00627DA0">
        <w:t>the project team</w:t>
      </w:r>
      <w:r w:rsidR="00E46E6D" w:rsidRPr="00627DA0">
        <w:t xml:space="preserve"> </w:t>
      </w:r>
      <w:r w:rsidR="009D2A25" w:rsidRPr="00627DA0">
        <w:t>kept the savings potential for these measures after 2029</w:t>
      </w:r>
      <w:r w:rsidR="001B7D10" w:rsidRPr="00627DA0">
        <w:t xml:space="preserve"> to show the savings that are possible</w:t>
      </w:r>
      <w:r w:rsidR="009C2728" w:rsidRPr="00627DA0">
        <w:t xml:space="preserve"> and will be seen on </w:t>
      </w:r>
      <w:r w:rsidR="0032364D" w:rsidRPr="00627DA0">
        <w:t>Inland Power</w:t>
      </w:r>
      <w:r w:rsidR="009C2728" w:rsidRPr="00627DA0">
        <w:t>’s system</w:t>
      </w:r>
      <w:r w:rsidR="001B7D10" w:rsidRPr="00627DA0">
        <w:t xml:space="preserve">, whether they are achieved through </w:t>
      </w:r>
      <w:r w:rsidR="0032364D" w:rsidRPr="00627DA0">
        <w:t>Inland Power</w:t>
      </w:r>
      <w:r w:rsidR="001B7D10" w:rsidRPr="00627DA0">
        <w:t xml:space="preserve">’s programs or </w:t>
      </w:r>
      <w:r w:rsidR="00B26E1C" w:rsidRPr="00627DA0">
        <w:t>the federal standard</w:t>
      </w:r>
      <w:r w:rsidR="001A327C" w:rsidRPr="00627DA0">
        <w:t>.</w:t>
      </w:r>
      <w:r w:rsidR="00003B8C" w:rsidRPr="00627DA0">
        <w:t xml:space="preserve"> The state </w:t>
      </w:r>
      <w:r w:rsidR="005B7E48" w:rsidRPr="00627DA0">
        <w:t xml:space="preserve">of this market can be re-evaluated in </w:t>
      </w:r>
      <w:r w:rsidR="0032364D" w:rsidRPr="00627DA0">
        <w:t>Inland Power</w:t>
      </w:r>
      <w:r w:rsidR="005B7E48" w:rsidRPr="00627DA0">
        <w:t>’s 2027 CPA.</w:t>
      </w:r>
    </w:p>
    <w:p w14:paraId="79AC3AC0" w14:textId="5571031C" w:rsidR="00615B3E" w:rsidRPr="00627DA0" w:rsidRDefault="00615B3E" w:rsidP="00615B3E">
      <w:pPr>
        <w:pStyle w:val="Caption"/>
      </w:pPr>
      <w:bookmarkStart w:id="98" w:name="_Ref60668751"/>
      <w:bookmarkStart w:id="99" w:name="_Toc207870716"/>
      <w:r w:rsidRPr="00627DA0">
        <w:t xml:space="preserve">Figure </w:t>
      </w:r>
      <w:fldSimple w:instr=" SEQ Figure \* ARABIC ">
        <w:r w:rsidR="00431297" w:rsidRPr="00627DA0">
          <w:t>17</w:t>
        </w:r>
      </w:fldSimple>
      <w:bookmarkEnd w:id="97"/>
      <w:bookmarkEnd w:id="98"/>
      <w:r w:rsidRPr="00627DA0">
        <w:t>: Residential Potential by End Use and Measure Category</w:t>
      </w:r>
      <w:bookmarkEnd w:id="99"/>
    </w:p>
    <w:p w14:paraId="7C17993F" w14:textId="3E022D4C" w:rsidR="00615B3E" w:rsidRPr="00627DA0" w:rsidRDefault="008C7702" w:rsidP="00615B3E">
      <w:r w:rsidRPr="00627DA0">
        <w:drawing>
          <wp:inline distT="0" distB="0" distL="0" distR="0" wp14:anchorId="50515102" wp14:editId="103777E2">
            <wp:extent cx="5948680" cy="2230755"/>
            <wp:effectExtent l="0" t="0" r="0" b="0"/>
            <wp:docPr id="965385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5230" name="Picture 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48680" cy="2230755"/>
                    </a:xfrm>
                    <a:prstGeom prst="rect">
                      <a:avLst/>
                    </a:prstGeom>
                    <a:noFill/>
                    <a:ln>
                      <a:noFill/>
                    </a:ln>
                  </pic:spPr>
                </pic:pic>
              </a:graphicData>
            </a:graphic>
          </wp:inline>
        </w:drawing>
      </w:r>
    </w:p>
    <w:p w14:paraId="10F4B61F" w14:textId="1D544FDB" w:rsidR="00D13027" w:rsidRPr="00627DA0" w:rsidRDefault="00D13027" w:rsidP="00D13027">
      <w:pPr>
        <w:pStyle w:val="Heading3"/>
      </w:pPr>
      <w:r w:rsidRPr="00627DA0">
        <w:t>Commercial</w:t>
      </w:r>
    </w:p>
    <w:p w14:paraId="6BF82E8E" w14:textId="7CF66CB4" w:rsidR="00B6631B" w:rsidRPr="00627DA0" w:rsidRDefault="00AB3ED2" w:rsidP="00D13027">
      <w:r w:rsidRPr="00627DA0">
        <w:t>I</w:t>
      </w:r>
      <w:r w:rsidR="009E6B8C" w:rsidRPr="00627DA0">
        <w:t xml:space="preserve">n </w:t>
      </w:r>
      <w:r w:rsidR="003F7D68" w:rsidRPr="00627DA0">
        <w:t xml:space="preserve">commercial </w:t>
      </w:r>
      <w:r w:rsidR="009C1EEF" w:rsidRPr="00627DA0">
        <w:t xml:space="preserve">sector, lighting </w:t>
      </w:r>
      <w:r w:rsidR="006E7522" w:rsidRPr="00627DA0">
        <w:t xml:space="preserve">and HVAC </w:t>
      </w:r>
      <w:r w:rsidR="009C1EEF" w:rsidRPr="00627DA0">
        <w:t>measures are the end use</w:t>
      </w:r>
      <w:r w:rsidR="00841DCC" w:rsidRPr="00627DA0">
        <w:t>s</w:t>
      </w:r>
      <w:r w:rsidR="009C1EEF" w:rsidRPr="00627DA0">
        <w:t xml:space="preserve"> </w:t>
      </w:r>
      <w:r w:rsidR="00841DCC" w:rsidRPr="00627DA0">
        <w:t xml:space="preserve">with the highest potential. </w:t>
      </w:r>
      <w:r w:rsidR="000B6C7E" w:rsidRPr="00627DA0">
        <w:t xml:space="preserve">These two end uses comprise </w:t>
      </w:r>
      <w:r w:rsidR="00C433A3" w:rsidRPr="00627DA0">
        <w:t>42</w:t>
      </w:r>
      <w:r w:rsidR="000B6C7E" w:rsidRPr="00627DA0">
        <w:t xml:space="preserve">% and </w:t>
      </w:r>
      <w:r w:rsidR="00C433A3" w:rsidRPr="00627DA0">
        <w:t>18</w:t>
      </w:r>
      <w:r w:rsidR="000B6C7E" w:rsidRPr="00627DA0">
        <w:t xml:space="preserve">% of the 10-year potential, respectively. </w:t>
      </w:r>
      <w:r w:rsidR="00553599" w:rsidRPr="00627DA0">
        <w:t>The lighting end use includes measures applicable to both interior and exterior lighting</w:t>
      </w:r>
      <w:r w:rsidR="000B6C7E" w:rsidRPr="00627DA0">
        <w:t xml:space="preserve">. </w:t>
      </w:r>
    </w:p>
    <w:p w14:paraId="06364440" w14:textId="28AF785D" w:rsidR="00990E20" w:rsidRPr="00627DA0" w:rsidRDefault="00DF549F" w:rsidP="00D13027">
      <w:r w:rsidRPr="00627DA0">
        <w:t xml:space="preserve">Like the residential sector, the potential in the commercial sector has declined relative to the 2023 CPA. </w:t>
      </w:r>
      <w:r w:rsidR="00C06BF6" w:rsidRPr="00627DA0">
        <w:t xml:space="preserve">This is primarily driven by the change in </w:t>
      </w:r>
      <w:r w:rsidR="00FB5074" w:rsidRPr="00627DA0">
        <w:t>forecasted</w:t>
      </w:r>
      <w:r w:rsidR="00C06BF6" w:rsidRPr="00627DA0">
        <w:t xml:space="preserve"> commercial floor area</w:t>
      </w:r>
      <w:r w:rsidR="00F45665" w:rsidRPr="00627DA0">
        <w:t xml:space="preserve"> and recent decreases in program activity</w:t>
      </w:r>
      <w:r w:rsidR="00C06BF6" w:rsidRPr="00627DA0">
        <w:t xml:space="preserve">. </w:t>
      </w:r>
      <w:r w:rsidR="00990E20" w:rsidRPr="00627DA0">
        <w:t>In addition, t</w:t>
      </w:r>
      <w:r w:rsidR="00B21905" w:rsidRPr="00627DA0">
        <w:t>he savings potential in the lighting end use is subject to a state law banning mercury in light</w:t>
      </w:r>
      <w:r w:rsidR="003E300B" w:rsidRPr="00627DA0">
        <w:t>ing beginning in 2029. In effect, this will raise the baseline for</w:t>
      </w:r>
      <w:r w:rsidR="00FD56EA" w:rsidRPr="00627DA0">
        <w:t xml:space="preserve"> commercial</w:t>
      </w:r>
      <w:r w:rsidR="003E300B" w:rsidRPr="00627DA0">
        <w:t xml:space="preserve"> lighting programs to LED products</w:t>
      </w:r>
      <w:r w:rsidR="00B90CB0" w:rsidRPr="00627DA0">
        <w:t>.</w:t>
      </w:r>
      <w:r w:rsidR="001433D6" w:rsidRPr="00627DA0">
        <w:t xml:space="preserve"> The project team </w:t>
      </w:r>
      <w:r w:rsidR="00551B6B" w:rsidRPr="00627DA0">
        <w:t xml:space="preserve">reduced the lighting savings </w:t>
      </w:r>
      <w:r w:rsidR="00E54421" w:rsidRPr="00627DA0">
        <w:t xml:space="preserve">beginning </w:t>
      </w:r>
      <w:r w:rsidR="00551B6B" w:rsidRPr="00627DA0">
        <w:t>in 2029 to reflect this</w:t>
      </w:r>
      <w:r w:rsidR="00E54421" w:rsidRPr="00627DA0">
        <w:t xml:space="preserve"> change.</w:t>
      </w:r>
      <w:r w:rsidR="00B90CB0" w:rsidRPr="00627DA0">
        <w:t xml:space="preserve"> </w:t>
      </w:r>
      <w:r w:rsidR="00427EFA" w:rsidRPr="00627DA0">
        <w:t xml:space="preserve">In addition, the potential remaining in this end use is limited after accounting for </w:t>
      </w:r>
      <w:r w:rsidR="0032364D" w:rsidRPr="00627DA0">
        <w:t>Inland Power</w:t>
      </w:r>
      <w:r w:rsidR="0043006B" w:rsidRPr="00627DA0">
        <w:t>’s previous achievements.</w:t>
      </w:r>
    </w:p>
    <w:p w14:paraId="4A325EA8" w14:textId="572768BF" w:rsidR="00FE4AF4" w:rsidRPr="00627DA0" w:rsidRDefault="001A1EC9" w:rsidP="00D13027">
      <w:r w:rsidRPr="00627DA0">
        <w:fldChar w:fldCharType="begin"/>
      </w:r>
      <w:r w:rsidRPr="00627DA0">
        <w:instrText xml:space="preserve"> REF _Ref61076626 \h </w:instrText>
      </w:r>
      <w:r w:rsidRPr="00627DA0">
        <w:fldChar w:fldCharType="separate"/>
      </w:r>
      <w:r w:rsidR="00431297" w:rsidRPr="00627DA0">
        <w:t>Figure 18</w:t>
      </w:r>
      <w:r w:rsidRPr="00627DA0">
        <w:fldChar w:fldCharType="end"/>
      </w:r>
      <w:r w:rsidR="009363E7" w:rsidRPr="00627DA0">
        <w:t xml:space="preserve"> shows the annual potential in each end use over the first </w:t>
      </w:r>
      <w:r w:rsidR="009A4586" w:rsidRPr="00627DA0">
        <w:t>ten years of the study.</w:t>
      </w:r>
      <w:r w:rsidR="00D20721" w:rsidRPr="00627DA0">
        <w:t xml:space="preserve"> </w:t>
      </w:r>
      <w:r w:rsidR="006E7488" w:rsidRPr="00627DA0">
        <w:t xml:space="preserve">The figure shows how </w:t>
      </w:r>
      <w:r w:rsidR="008A3044" w:rsidRPr="00627DA0">
        <w:t xml:space="preserve">the new lighting potential after 2029 is more limited while </w:t>
      </w:r>
      <w:r w:rsidR="00543527" w:rsidRPr="00627DA0">
        <w:t xml:space="preserve">other end uses continue to steadily acquire more savings. </w:t>
      </w:r>
      <w:r w:rsidR="00D20721" w:rsidRPr="00627DA0">
        <w:t xml:space="preserve">Note that </w:t>
      </w:r>
      <w:r w:rsidR="00FE4AF4" w:rsidRPr="00627DA0">
        <w:t xml:space="preserve">the </w:t>
      </w:r>
      <w:r w:rsidRPr="00627DA0">
        <w:t>o</w:t>
      </w:r>
      <w:r w:rsidR="00FE4AF4" w:rsidRPr="00627DA0">
        <w:t xml:space="preserve">ther </w:t>
      </w:r>
      <w:r w:rsidR="00CF07B0" w:rsidRPr="00627DA0">
        <w:t xml:space="preserve">end use </w:t>
      </w:r>
      <w:r w:rsidR="00FE4AF4" w:rsidRPr="00627DA0">
        <w:t xml:space="preserve">category includes measures in the </w:t>
      </w:r>
      <w:r w:rsidR="001C4FCE" w:rsidRPr="00627DA0">
        <w:t>c</w:t>
      </w:r>
      <w:r w:rsidR="00FE4AF4" w:rsidRPr="00627DA0">
        <w:t xml:space="preserve">ompressed </w:t>
      </w:r>
      <w:r w:rsidR="001C4FCE" w:rsidRPr="00627DA0">
        <w:t>a</w:t>
      </w:r>
      <w:r w:rsidR="00FE4AF4" w:rsidRPr="00627DA0">
        <w:t xml:space="preserve">ir, </w:t>
      </w:r>
      <w:r w:rsidR="001C4FCE" w:rsidRPr="00627DA0">
        <w:t>food preparation,</w:t>
      </w:r>
      <w:r w:rsidR="007F725F" w:rsidRPr="00627DA0">
        <w:t xml:space="preserve"> process loads,</w:t>
      </w:r>
      <w:r w:rsidR="00FE4AF4" w:rsidRPr="00627DA0">
        <w:t xml:space="preserve"> and </w:t>
      </w:r>
      <w:r w:rsidR="006B01EE" w:rsidRPr="00627DA0">
        <w:t>w</w:t>
      </w:r>
      <w:r w:rsidR="00FE4AF4" w:rsidRPr="00627DA0">
        <w:t xml:space="preserve">ater </w:t>
      </w:r>
      <w:r w:rsidR="006B01EE" w:rsidRPr="00627DA0">
        <w:t>h</w:t>
      </w:r>
      <w:r w:rsidR="00FE4AF4" w:rsidRPr="00627DA0">
        <w:t>eating end uses.</w:t>
      </w:r>
    </w:p>
    <w:p w14:paraId="04FA48D1" w14:textId="63D2CDC6" w:rsidR="006D4712" w:rsidRPr="00627DA0" w:rsidRDefault="006D4712" w:rsidP="006D4712">
      <w:pPr>
        <w:pStyle w:val="Caption"/>
      </w:pPr>
      <w:bookmarkStart w:id="100" w:name="_Ref61076626"/>
      <w:bookmarkStart w:id="101" w:name="_Toc207870717"/>
      <w:r w:rsidRPr="00627DA0">
        <w:lastRenderedPageBreak/>
        <w:t xml:space="preserve">Figure </w:t>
      </w:r>
      <w:fldSimple w:instr=" SEQ Figure \* ARABIC ">
        <w:r w:rsidR="00431297" w:rsidRPr="00627DA0">
          <w:t>18</w:t>
        </w:r>
      </w:fldSimple>
      <w:bookmarkEnd w:id="100"/>
      <w:r w:rsidRPr="00627DA0">
        <w:t>: Annual Commercial Potential by End Use</w:t>
      </w:r>
      <w:bookmarkEnd w:id="101"/>
    </w:p>
    <w:p w14:paraId="11C07E80" w14:textId="1BCE9AA8" w:rsidR="00C17484" w:rsidRPr="00627DA0" w:rsidRDefault="00CD6F73" w:rsidP="00C17484">
      <w:r w:rsidRPr="00627DA0">
        <w:drawing>
          <wp:inline distT="0" distB="0" distL="0" distR="0" wp14:anchorId="54D63854" wp14:editId="2E6E4235">
            <wp:extent cx="5948680" cy="2287954"/>
            <wp:effectExtent l="0" t="0" r="0" b="0"/>
            <wp:docPr id="1047339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9764"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3CF9B126" w14:textId="6376B5DE" w:rsidR="000C452D" w:rsidRPr="00627DA0" w:rsidRDefault="00611008">
      <w:pPr>
        <w:rPr>
          <w:b/>
          <w:iCs/>
          <w:color w:val="000000" w:themeColor="text1"/>
          <w:sz w:val="20"/>
          <w:szCs w:val="18"/>
        </w:rPr>
      </w:pPr>
      <w:r w:rsidRPr="00627DA0">
        <w:t>Key end uses and measure categories within the commercial sector are shown in</w:t>
      </w:r>
      <w:r w:rsidR="00791B5C" w:rsidRPr="00627DA0">
        <w:t xml:space="preserve"> </w:t>
      </w:r>
      <w:r w:rsidR="00791B5C" w:rsidRPr="00627DA0">
        <w:fldChar w:fldCharType="begin"/>
      </w:r>
      <w:r w:rsidR="00791B5C" w:rsidRPr="00627DA0">
        <w:instrText xml:space="preserve"> REF _Ref48660056 \h </w:instrText>
      </w:r>
      <w:r w:rsidR="00791B5C" w:rsidRPr="00627DA0">
        <w:fldChar w:fldCharType="separate"/>
      </w:r>
      <w:r w:rsidR="00431297" w:rsidRPr="00627DA0">
        <w:t>Figure 19</w:t>
      </w:r>
      <w:r w:rsidR="00791B5C" w:rsidRPr="00627DA0">
        <w:fldChar w:fldCharType="end"/>
      </w:r>
      <w:r w:rsidR="008F2FF8" w:rsidRPr="00627DA0">
        <w:t>. The area of each block is proportional to its share of the 10-year commercial potential.</w:t>
      </w:r>
      <w:r w:rsidR="00DB4B1C" w:rsidRPr="00627DA0">
        <w:t xml:space="preserve"> The commercial sector includes a variety of building types with different end uses. This is apparent in the range of measures </w:t>
      </w:r>
      <w:r w:rsidR="007A68F1" w:rsidRPr="00627DA0">
        <w:t xml:space="preserve">included in </w:t>
      </w:r>
      <w:r w:rsidR="00335211" w:rsidRPr="00627DA0">
        <w:fldChar w:fldCharType="begin"/>
      </w:r>
      <w:r w:rsidR="00335211" w:rsidRPr="00627DA0">
        <w:instrText xml:space="preserve"> REF _Ref48660056 \h </w:instrText>
      </w:r>
      <w:r w:rsidR="00335211" w:rsidRPr="00627DA0">
        <w:fldChar w:fldCharType="separate"/>
      </w:r>
      <w:r w:rsidR="00431297" w:rsidRPr="00627DA0">
        <w:t>Figure 19</w:t>
      </w:r>
      <w:r w:rsidR="00335211" w:rsidRPr="00627DA0">
        <w:fldChar w:fldCharType="end"/>
      </w:r>
      <w:r w:rsidR="00AF662A" w:rsidRPr="00627DA0">
        <w:t>, especially the different types of HVAC equipment</w:t>
      </w:r>
      <w:r w:rsidR="007A68F1" w:rsidRPr="00627DA0">
        <w:t>.</w:t>
      </w:r>
      <w:bookmarkStart w:id="102" w:name="_Ref48659870"/>
    </w:p>
    <w:p w14:paraId="64313074" w14:textId="5101F7D5" w:rsidR="00C17484" w:rsidRPr="00627DA0" w:rsidRDefault="004C1F9F" w:rsidP="004C1F9F">
      <w:pPr>
        <w:pStyle w:val="Caption"/>
      </w:pPr>
      <w:bookmarkStart w:id="103" w:name="_Ref48660056"/>
      <w:bookmarkStart w:id="104" w:name="_Toc207870718"/>
      <w:r w:rsidRPr="00627DA0">
        <w:t xml:space="preserve">Figure </w:t>
      </w:r>
      <w:fldSimple w:instr=" SEQ Figure \* ARABIC ">
        <w:r w:rsidR="00431297" w:rsidRPr="00627DA0">
          <w:t>19</w:t>
        </w:r>
      </w:fldSimple>
      <w:bookmarkEnd w:id="102"/>
      <w:bookmarkEnd w:id="103"/>
      <w:r w:rsidRPr="00627DA0">
        <w:t>: Commercial Potential by End Use and Measure Category</w:t>
      </w:r>
      <w:bookmarkEnd w:id="104"/>
    </w:p>
    <w:p w14:paraId="38B67762" w14:textId="61380A6F" w:rsidR="00AC7780" w:rsidRPr="00627DA0" w:rsidRDefault="00551D24" w:rsidP="00615B3E">
      <w:r w:rsidRPr="00627DA0">
        <w:drawing>
          <wp:inline distT="0" distB="0" distL="0" distR="0" wp14:anchorId="762698DB" wp14:editId="78900FFB">
            <wp:extent cx="5948680" cy="2230755"/>
            <wp:effectExtent l="0" t="0" r="0" b="0"/>
            <wp:docPr id="573429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29764" name="Picture 1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48680" cy="2230755"/>
                    </a:xfrm>
                    <a:prstGeom prst="rect">
                      <a:avLst/>
                    </a:prstGeom>
                    <a:noFill/>
                    <a:ln>
                      <a:noFill/>
                    </a:ln>
                  </pic:spPr>
                </pic:pic>
              </a:graphicData>
            </a:graphic>
          </wp:inline>
        </w:drawing>
      </w:r>
    </w:p>
    <w:p w14:paraId="337A5428" w14:textId="77777777" w:rsidR="00286CEB" w:rsidRPr="00627DA0" w:rsidRDefault="00286CEB" w:rsidP="00286CEB">
      <w:pPr>
        <w:pStyle w:val="Heading3"/>
      </w:pPr>
      <w:r w:rsidRPr="00627DA0">
        <w:t>Industrial</w:t>
      </w:r>
    </w:p>
    <w:p w14:paraId="76FB5E77" w14:textId="0C33A909" w:rsidR="00286CEB" w:rsidRPr="00627DA0" w:rsidRDefault="00286CEB" w:rsidP="00286CEB">
      <w:r w:rsidRPr="00627DA0">
        <w:t>The annual industrial sector potential is shown in</w:t>
      </w:r>
      <w:r w:rsidR="00D80A1C" w:rsidRPr="00627DA0">
        <w:t xml:space="preserve"> </w:t>
      </w:r>
      <w:r w:rsidR="00D80A1C" w:rsidRPr="00627DA0">
        <w:fldChar w:fldCharType="begin"/>
      </w:r>
      <w:r w:rsidR="00D80A1C" w:rsidRPr="00627DA0">
        <w:instrText xml:space="preserve"> REF _Ref48660159 \h </w:instrText>
      </w:r>
      <w:r w:rsidR="00D80A1C" w:rsidRPr="00627DA0">
        <w:fldChar w:fldCharType="separate"/>
      </w:r>
      <w:r w:rsidR="00431297" w:rsidRPr="00627DA0">
        <w:t>Figure 20</w:t>
      </w:r>
      <w:r w:rsidR="00D80A1C" w:rsidRPr="00627DA0">
        <w:fldChar w:fldCharType="end"/>
      </w:r>
      <w:r w:rsidR="00382927" w:rsidRPr="00627DA0">
        <w:t xml:space="preserve">. </w:t>
      </w:r>
      <w:r w:rsidR="005A7324" w:rsidRPr="00627DA0">
        <w:t xml:space="preserve">The </w:t>
      </w:r>
      <w:r w:rsidR="008D5530" w:rsidRPr="00627DA0">
        <w:t>“all electric”</w:t>
      </w:r>
      <w:r w:rsidR="003E04DC" w:rsidRPr="00627DA0">
        <w:t xml:space="preserve"> </w:t>
      </w:r>
      <w:r w:rsidR="0074235C" w:rsidRPr="00627DA0">
        <w:t xml:space="preserve">and lighting </w:t>
      </w:r>
      <w:r w:rsidR="005A7324" w:rsidRPr="00627DA0">
        <w:t>end use</w:t>
      </w:r>
      <w:r w:rsidR="008D5530" w:rsidRPr="00627DA0">
        <w:t>s</w:t>
      </w:r>
      <w:r w:rsidR="008424BB" w:rsidRPr="00627DA0">
        <w:t xml:space="preserve"> </w:t>
      </w:r>
      <w:r w:rsidR="008D5530" w:rsidRPr="00627DA0">
        <w:t>are</w:t>
      </w:r>
      <w:r w:rsidR="008424BB" w:rsidRPr="00627DA0">
        <w:t xml:space="preserve"> the largest area</w:t>
      </w:r>
      <w:r w:rsidR="008D5530" w:rsidRPr="00627DA0">
        <w:t>s</w:t>
      </w:r>
      <w:r w:rsidR="008424BB" w:rsidRPr="00627DA0">
        <w:t xml:space="preserve"> of potential,</w:t>
      </w:r>
      <w:r w:rsidR="008D5530" w:rsidRPr="00627DA0">
        <w:t xml:space="preserve"> </w:t>
      </w:r>
      <w:r w:rsidR="00BC7B6F" w:rsidRPr="00627DA0">
        <w:t xml:space="preserve">comprising </w:t>
      </w:r>
      <w:r w:rsidR="00B839C6" w:rsidRPr="00627DA0">
        <w:t>33</w:t>
      </w:r>
      <w:r w:rsidR="00BC7B6F" w:rsidRPr="00627DA0">
        <w:t xml:space="preserve">% </w:t>
      </w:r>
      <w:r w:rsidR="007D75F9" w:rsidRPr="00627DA0">
        <w:t xml:space="preserve">and </w:t>
      </w:r>
      <w:r w:rsidR="00B839C6" w:rsidRPr="00627DA0">
        <w:t>31</w:t>
      </w:r>
      <w:r w:rsidR="007D75F9" w:rsidRPr="00627DA0">
        <w:t xml:space="preserve">% </w:t>
      </w:r>
      <w:r w:rsidR="00BC7B6F" w:rsidRPr="00627DA0">
        <w:t>of the 10-year potential</w:t>
      </w:r>
      <w:r w:rsidR="007D75F9" w:rsidRPr="00627DA0">
        <w:t>, respectively</w:t>
      </w:r>
      <w:r w:rsidR="00BC7B6F" w:rsidRPr="00627DA0">
        <w:t xml:space="preserve">. </w:t>
      </w:r>
      <w:r w:rsidR="007C5840" w:rsidRPr="00627DA0">
        <w:t xml:space="preserve">The </w:t>
      </w:r>
      <w:r w:rsidR="0094786D" w:rsidRPr="00627DA0">
        <w:t>“</w:t>
      </w:r>
      <w:r w:rsidR="007C5840" w:rsidRPr="00627DA0">
        <w:t>all electric</w:t>
      </w:r>
      <w:r w:rsidR="0094786D" w:rsidRPr="00627DA0">
        <w:t>”</w:t>
      </w:r>
      <w:r w:rsidR="007C5840" w:rsidRPr="00627DA0">
        <w:t xml:space="preserve"> end use category includes measures </w:t>
      </w:r>
      <w:r w:rsidR="00B839C6" w:rsidRPr="00627DA0">
        <w:t>applicable</w:t>
      </w:r>
      <w:r w:rsidR="007C5840" w:rsidRPr="00627DA0">
        <w:t xml:space="preserve"> to all end uses, such as strategic energy management programs</w:t>
      </w:r>
      <w:r w:rsidR="00297668" w:rsidRPr="00627DA0">
        <w:t xml:space="preserve">, </w:t>
      </w:r>
      <w:r w:rsidR="004C6638" w:rsidRPr="00627DA0">
        <w:t>forklift</w:t>
      </w:r>
      <w:r w:rsidR="00297668" w:rsidRPr="00627DA0">
        <w:t xml:space="preserve"> chargers,</w:t>
      </w:r>
      <w:r w:rsidR="007C5840" w:rsidRPr="00627DA0">
        <w:t xml:space="preserve"> and measures applicable to the water and wastewater segments. </w:t>
      </w:r>
      <w:r w:rsidR="00A307E6" w:rsidRPr="00627DA0">
        <w:t>After</w:t>
      </w:r>
      <w:r w:rsidR="0072379E" w:rsidRPr="00627DA0">
        <w:t xml:space="preserve"> th</w:t>
      </w:r>
      <w:r w:rsidR="00DD5402" w:rsidRPr="00627DA0">
        <w:t>e</w:t>
      </w:r>
      <w:r w:rsidR="0072379E" w:rsidRPr="00627DA0">
        <w:t>s</w:t>
      </w:r>
      <w:r w:rsidR="00DD5402" w:rsidRPr="00627DA0">
        <w:t>e</w:t>
      </w:r>
      <w:r w:rsidR="0072379E" w:rsidRPr="00627DA0">
        <w:t xml:space="preserve"> end use</w:t>
      </w:r>
      <w:r w:rsidR="00DD5402" w:rsidRPr="00627DA0">
        <w:t>s</w:t>
      </w:r>
      <w:r w:rsidR="00A307E6" w:rsidRPr="00627DA0">
        <w:t xml:space="preserve">, the key end uses include </w:t>
      </w:r>
      <w:r w:rsidR="00DC4F63" w:rsidRPr="00627DA0">
        <w:t>pumps (1</w:t>
      </w:r>
      <w:r w:rsidR="0094786D" w:rsidRPr="00627DA0">
        <w:t>3</w:t>
      </w:r>
      <w:r w:rsidR="00DC4F63" w:rsidRPr="00627DA0">
        <w:t xml:space="preserve">%), </w:t>
      </w:r>
      <w:r w:rsidR="005E1B9D" w:rsidRPr="00627DA0">
        <w:t>refrigeration</w:t>
      </w:r>
      <w:r w:rsidR="00034436" w:rsidRPr="00627DA0">
        <w:t xml:space="preserve"> (</w:t>
      </w:r>
      <w:r w:rsidR="00F3282B" w:rsidRPr="00627DA0">
        <w:t>9</w:t>
      </w:r>
      <w:r w:rsidR="00034436" w:rsidRPr="00627DA0">
        <w:t>%)</w:t>
      </w:r>
      <w:r w:rsidR="00B771AD" w:rsidRPr="00627DA0">
        <w:t xml:space="preserve">, </w:t>
      </w:r>
      <w:r w:rsidR="00034436" w:rsidRPr="00627DA0">
        <w:t xml:space="preserve">and </w:t>
      </w:r>
      <w:r w:rsidR="001E0139" w:rsidRPr="00627DA0">
        <w:t xml:space="preserve">fans and blowers </w:t>
      </w:r>
      <w:r w:rsidR="00034436" w:rsidRPr="00627DA0">
        <w:t>(</w:t>
      </w:r>
      <w:r w:rsidR="00F3282B" w:rsidRPr="00627DA0">
        <w:t>5</w:t>
      </w:r>
      <w:r w:rsidR="001E0139" w:rsidRPr="00627DA0">
        <w:t>%</w:t>
      </w:r>
      <w:r w:rsidR="00034436" w:rsidRPr="00627DA0">
        <w:t xml:space="preserve">). </w:t>
      </w:r>
      <w:r w:rsidR="00A93F88" w:rsidRPr="00627DA0">
        <w:t xml:space="preserve">The </w:t>
      </w:r>
      <w:r w:rsidR="00C71BD3" w:rsidRPr="00627DA0">
        <w:t>o</w:t>
      </w:r>
      <w:r w:rsidR="00A93F88" w:rsidRPr="00627DA0">
        <w:t xml:space="preserve">ther category in </w:t>
      </w:r>
      <w:r w:rsidR="00806A3C" w:rsidRPr="00627DA0">
        <w:fldChar w:fldCharType="begin"/>
      </w:r>
      <w:r w:rsidR="00806A3C" w:rsidRPr="00627DA0">
        <w:instrText xml:space="preserve"> REF _Ref48660159 \h </w:instrText>
      </w:r>
      <w:r w:rsidR="00806A3C" w:rsidRPr="00627DA0">
        <w:fldChar w:fldCharType="separate"/>
      </w:r>
      <w:r w:rsidR="00431297" w:rsidRPr="00627DA0">
        <w:t>Figure 20</w:t>
      </w:r>
      <w:r w:rsidR="00806A3C" w:rsidRPr="00627DA0">
        <w:fldChar w:fldCharType="end"/>
      </w:r>
      <w:r w:rsidR="00806A3C" w:rsidRPr="00627DA0">
        <w:t xml:space="preserve"> </w:t>
      </w:r>
      <w:r w:rsidR="00A93F88" w:rsidRPr="00627DA0">
        <w:t>includes</w:t>
      </w:r>
      <w:r w:rsidR="00B72C6B" w:rsidRPr="00627DA0">
        <w:t xml:space="preserve"> a variety of end uses, including</w:t>
      </w:r>
      <w:r w:rsidR="00565E16" w:rsidRPr="00627DA0">
        <w:t xml:space="preserve"> </w:t>
      </w:r>
      <w:r w:rsidR="00FF0B41" w:rsidRPr="00627DA0">
        <w:t xml:space="preserve">compressed air, </w:t>
      </w:r>
      <w:r w:rsidR="003A2034" w:rsidRPr="00627DA0">
        <w:t xml:space="preserve">material </w:t>
      </w:r>
      <w:r w:rsidR="00A313F3" w:rsidRPr="00627DA0">
        <w:t>handl</w:t>
      </w:r>
      <w:r w:rsidR="003A2034" w:rsidRPr="00627DA0">
        <w:t>ing</w:t>
      </w:r>
      <w:r w:rsidR="00EA3EEC" w:rsidRPr="00627DA0">
        <w:t xml:space="preserve"> and processing</w:t>
      </w:r>
      <w:r w:rsidR="003A2034" w:rsidRPr="00627DA0">
        <w:t xml:space="preserve">, </w:t>
      </w:r>
      <w:r w:rsidR="00602AAD" w:rsidRPr="00627DA0">
        <w:t xml:space="preserve">motors, </w:t>
      </w:r>
      <w:r w:rsidR="0029413A" w:rsidRPr="00627DA0">
        <w:t xml:space="preserve">and several other smaller </w:t>
      </w:r>
      <w:r w:rsidR="00C002C0" w:rsidRPr="00627DA0">
        <w:t>end uses</w:t>
      </w:r>
      <w:r w:rsidR="0029413A" w:rsidRPr="00627DA0">
        <w:t>.</w:t>
      </w:r>
    </w:p>
    <w:p w14:paraId="146A5620" w14:textId="7DD4DB5C" w:rsidR="00446C2A" w:rsidRPr="00627DA0" w:rsidRDefault="00446C2A" w:rsidP="00286CEB">
      <w:r w:rsidRPr="00627DA0">
        <w:t xml:space="preserve">The industrial potential </w:t>
      </w:r>
      <w:r w:rsidR="003533C8" w:rsidRPr="00627DA0">
        <w:t xml:space="preserve">near-term potential </w:t>
      </w:r>
      <w:r w:rsidR="00EA79DD" w:rsidRPr="00627DA0">
        <w:t>de</w:t>
      </w:r>
      <w:r w:rsidR="00C0545B" w:rsidRPr="00627DA0">
        <w:t>creas</w:t>
      </w:r>
      <w:r w:rsidRPr="00627DA0">
        <w:t xml:space="preserve">ed relative to </w:t>
      </w:r>
      <w:r w:rsidR="0032364D" w:rsidRPr="00627DA0">
        <w:t>Inland Power</w:t>
      </w:r>
      <w:r w:rsidRPr="00627DA0">
        <w:t>’s 2023 CPA</w:t>
      </w:r>
      <w:r w:rsidR="001B4B0A" w:rsidRPr="00627DA0">
        <w:t xml:space="preserve"> after accounting for recent program accomplishments and </w:t>
      </w:r>
      <w:r w:rsidR="003C48AC" w:rsidRPr="00627DA0">
        <w:t>incorporating lower avoided costs</w:t>
      </w:r>
      <w:r w:rsidRPr="00627DA0">
        <w:t xml:space="preserve">, </w:t>
      </w:r>
      <w:r w:rsidR="003C48AC" w:rsidRPr="00627DA0">
        <w:t xml:space="preserve">but the </w:t>
      </w:r>
      <w:r w:rsidR="003C48AC" w:rsidRPr="00627DA0">
        <w:lastRenderedPageBreak/>
        <w:t xml:space="preserve">long term potential increased </w:t>
      </w:r>
      <w:r w:rsidR="009378AE" w:rsidRPr="00627DA0">
        <w:t xml:space="preserve">due to </w:t>
      </w:r>
      <w:r w:rsidR="004961A1" w:rsidRPr="00627DA0">
        <w:t>addi</w:t>
      </w:r>
      <w:r w:rsidR="009378AE" w:rsidRPr="00627DA0">
        <w:t>tion</w:t>
      </w:r>
      <w:r w:rsidR="004961A1" w:rsidRPr="00627DA0">
        <w:t xml:space="preserve"> </w:t>
      </w:r>
      <w:r w:rsidR="009378AE" w:rsidRPr="00627DA0">
        <w:t xml:space="preserve">of </w:t>
      </w:r>
      <w:r w:rsidR="004961A1" w:rsidRPr="00627DA0">
        <w:t>loads from grain storage facilities</w:t>
      </w:r>
      <w:r w:rsidR="009378AE" w:rsidRPr="00627DA0">
        <w:t>, which were previously excluded.</w:t>
      </w:r>
      <w:r w:rsidR="009378AE" w:rsidRPr="00627DA0" w:rsidDel="009378AE">
        <w:t xml:space="preserve"> </w:t>
      </w:r>
    </w:p>
    <w:p w14:paraId="1200044D" w14:textId="0D732243" w:rsidR="00AC7780" w:rsidRPr="00627DA0" w:rsidRDefault="00286CEB" w:rsidP="00436C1A">
      <w:pPr>
        <w:pStyle w:val="Caption"/>
      </w:pPr>
      <w:bookmarkStart w:id="105" w:name="_Ref48660159"/>
      <w:bookmarkStart w:id="106" w:name="_Toc207870719"/>
      <w:r w:rsidRPr="00627DA0">
        <w:t xml:space="preserve">Figure </w:t>
      </w:r>
      <w:fldSimple w:instr=" SEQ Figure \* ARABIC ">
        <w:r w:rsidR="00431297" w:rsidRPr="00627DA0">
          <w:t>20</w:t>
        </w:r>
      </w:fldSimple>
      <w:bookmarkEnd w:id="105"/>
      <w:r w:rsidRPr="00627DA0">
        <w:t>: Annual Industrial Potential by End Use</w:t>
      </w:r>
      <w:bookmarkEnd w:id="106"/>
    </w:p>
    <w:p w14:paraId="266EAF35" w14:textId="29F7A04A" w:rsidR="00016886" w:rsidRPr="00627DA0" w:rsidRDefault="00551D24" w:rsidP="00615B3E">
      <w:r w:rsidRPr="00627DA0">
        <w:drawing>
          <wp:inline distT="0" distB="0" distL="0" distR="0" wp14:anchorId="4B678277" wp14:editId="377C163F">
            <wp:extent cx="5948680" cy="2287954"/>
            <wp:effectExtent l="0" t="0" r="0" b="0"/>
            <wp:docPr id="5754317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31755"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2EEE238F" w14:textId="2372E620" w:rsidR="00AC7780" w:rsidRPr="00627DA0" w:rsidRDefault="00C36A99" w:rsidP="00615B3E">
      <w:r w:rsidRPr="00627DA0">
        <w:t>The breakdown of 10-year industrial potential into end uses and measure categories is shown in</w:t>
      </w:r>
      <w:r w:rsidR="007657C9" w:rsidRPr="00627DA0">
        <w:t xml:space="preserve"> </w:t>
      </w:r>
      <w:r w:rsidR="007657C9" w:rsidRPr="00627DA0">
        <w:fldChar w:fldCharType="begin"/>
      </w:r>
      <w:r w:rsidR="007657C9" w:rsidRPr="00627DA0">
        <w:instrText xml:space="preserve"> REF _Ref48661383 \h </w:instrText>
      </w:r>
      <w:r w:rsidR="007657C9" w:rsidRPr="00627DA0">
        <w:fldChar w:fldCharType="separate"/>
      </w:r>
      <w:r w:rsidR="00431297" w:rsidRPr="00627DA0">
        <w:t>Figure 21</w:t>
      </w:r>
      <w:r w:rsidR="007657C9" w:rsidRPr="00627DA0">
        <w:fldChar w:fldCharType="end"/>
      </w:r>
      <w:r w:rsidR="0008099D" w:rsidRPr="00627DA0">
        <w:t>.</w:t>
      </w:r>
    </w:p>
    <w:p w14:paraId="57C50407" w14:textId="78F21825" w:rsidR="006A13BB" w:rsidRPr="00627DA0" w:rsidRDefault="006A13BB" w:rsidP="006A13BB">
      <w:pPr>
        <w:pStyle w:val="Caption"/>
      </w:pPr>
      <w:bookmarkStart w:id="107" w:name="_Ref48661383"/>
      <w:bookmarkStart w:id="108" w:name="_Toc207870720"/>
      <w:r w:rsidRPr="00627DA0">
        <w:t xml:space="preserve">Figure </w:t>
      </w:r>
      <w:fldSimple w:instr=" SEQ Figure \* ARABIC ">
        <w:r w:rsidR="00431297" w:rsidRPr="00627DA0">
          <w:t>21</w:t>
        </w:r>
      </w:fldSimple>
      <w:bookmarkEnd w:id="107"/>
      <w:r w:rsidRPr="00627DA0">
        <w:t>: Industrial Potential by End Use and Measure Category</w:t>
      </w:r>
      <w:bookmarkEnd w:id="108"/>
    </w:p>
    <w:p w14:paraId="46BD976D" w14:textId="555BF4FB" w:rsidR="00032573" w:rsidRPr="00627DA0" w:rsidRDefault="00EA79DD" w:rsidP="006C7D63">
      <w:r w:rsidRPr="00627DA0">
        <w:drawing>
          <wp:inline distT="0" distB="0" distL="0" distR="0" wp14:anchorId="66271308" wp14:editId="595545B1">
            <wp:extent cx="5948680" cy="2230755"/>
            <wp:effectExtent l="0" t="0" r="0" b="0"/>
            <wp:docPr id="6956755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75540" name="Picture 1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48680" cy="2230755"/>
                    </a:xfrm>
                    <a:prstGeom prst="rect">
                      <a:avLst/>
                    </a:prstGeom>
                    <a:noFill/>
                    <a:ln>
                      <a:noFill/>
                    </a:ln>
                  </pic:spPr>
                </pic:pic>
              </a:graphicData>
            </a:graphic>
          </wp:inline>
        </w:drawing>
      </w:r>
    </w:p>
    <w:p w14:paraId="782E3F84" w14:textId="4F3B76E7" w:rsidR="0008099D" w:rsidRPr="00627DA0" w:rsidRDefault="00AC0C5C" w:rsidP="00CD4AFF">
      <w:pPr>
        <w:pStyle w:val="Heading3"/>
      </w:pPr>
      <w:r w:rsidRPr="00627DA0">
        <w:t xml:space="preserve">Utility </w:t>
      </w:r>
      <w:r w:rsidR="005977F9" w:rsidRPr="00627DA0">
        <w:t xml:space="preserve">Distribution </w:t>
      </w:r>
      <w:r w:rsidRPr="00627DA0">
        <w:t>System</w:t>
      </w:r>
    </w:p>
    <w:p w14:paraId="597DC2D1" w14:textId="6A303ADC" w:rsidR="005977F9" w:rsidRPr="00627DA0" w:rsidRDefault="00DD7A3E" w:rsidP="005977F9">
      <w:r w:rsidRPr="00627DA0">
        <w:t>The m</w:t>
      </w:r>
      <w:r w:rsidR="00903AF0" w:rsidRPr="00627DA0">
        <w:t xml:space="preserve">easures in the distribution efficiency sector involve the regulation of voltage to </w:t>
      </w:r>
      <w:r w:rsidR="00AF1E56" w:rsidRPr="00627DA0">
        <w:t>improve the efficiency of utility distribution systems. This analysis includes the measures</w:t>
      </w:r>
      <w:r w:rsidR="0069595E" w:rsidRPr="00627DA0">
        <w:t xml:space="preserve"> characterized </w:t>
      </w:r>
      <w:r w:rsidR="004D7AD5" w:rsidRPr="00627DA0">
        <w:t>in</w:t>
      </w:r>
      <w:r w:rsidR="0069595E" w:rsidRPr="00627DA0">
        <w:t xml:space="preserve"> the </w:t>
      </w:r>
      <w:r w:rsidR="00BA2D32" w:rsidRPr="00627DA0">
        <w:t xml:space="preserve">2021 </w:t>
      </w:r>
      <w:r w:rsidR="004B6C48" w:rsidRPr="00627DA0">
        <w:t xml:space="preserve">Power </w:t>
      </w:r>
      <w:r w:rsidR="00BA2D32" w:rsidRPr="00627DA0">
        <w:t>Plan</w:t>
      </w:r>
      <w:r w:rsidR="0069595E" w:rsidRPr="00627DA0">
        <w:t>,</w:t>
      </w:r>
      <w:r w:rsidR="00464D24" w:rsidRPr="00627DA0">
        <w:t xml:space="preserve"> which</w:t>
      </w:r>
      <w:r w:rsidR="00046D51" w:rsidRPr="00627DA0">
        <w:t xml:space="preserve"> includes several levels that</w:t>
      </w:r>
      <w:r w:rsidR="00464D24" w:rsidRPr="00627DA0">
        <w:t xml:space="preserve"> use increasing</w:t>
      </w:r>
      <w:r w:rsidR="00046D51" w:rsidRPr="00627DA0">
        <w:t>ly</w:t>
      </w:r>
      <w:r w:rsidR="00464D24" w:rsidRPr="00627DA0">
        <w:t xml:space="preserve"> sophisticated control systems.</w:t>
      </w:r>
      <w:r w:rsidR="009C58E3" w:rsidRPr="00627DA0">
        <w:t xml:space="preserve"> </w:t>
      </w:r>
    </w:p>
    <w:p w14:paraId="32909E71" w14:textId="014EBD17" w:rsidR="00B316DD" w:rsidRPr="00627DA0" w:rsidRDefault="00B316DD" w:rsidP="005977F9">
      <w:r w:rsidRPr="00627DA0">
        <w:t>The annual distribution system potential is shown in</w:t>
      </w:r>
      <w:r w:rsidR="004A1A0A" w:rsidRPr="00627DA0">
        <w:t xml:space="preserve"> </w:t>
      </w:r>
      <w:r w:rsidR="004A1A0A" w:rsidRPr="00627DA0">
        <w:fldChar w:fldCharType="begin"/>
      </w:r>
      <w:r w:rsidR="004A1A0A" w:rsidRPr="00627DA0">
        <w:instrText xml:space="preserve"> REF _Ref48661700 \h </w:instrText>
      </w:r>
      <w:r w:rsidR="004A1A0A" w:rsidRPr="00627DA0">
        <w:fldChar w:fldCharType="separate"/>
      </w:r>
      <w:r w:rsidR="00431297" w:rsidRPr="00627DA0">
        <w:t>Figure 22</w:t>
      </w:r>
      <w:r w:rsidR="004A1A0A" w:rsidRPr="00627DA0">
        <w:fldChar w:fldCharType="end"/>
      </w:r>
      <w:r w:rsidR="003851DF" w:rsidRPr="00627DA0">
        <w:t>.</w:t>
      </w:r>
    </w:p>
    <w:p w14:paraId="4676CD2F" w14:textId="722CE3E4" w:rsidR="00B316DD" w:rsidRPr="00627DA0" w:rsidRDefault="003851DF" w:rsidP="003851DF">
      <w:pPr>
        <w:pStyle w:val="Caption"/>
      </w:pPr>
      <w:bookmarkStart w:id="109" w:name="_Ref48661700"/>
      <w:bookmarkStart w:id="110" w:name="_Toc207870721"/>
      <w:r w:rsidRPr="00627DA0">
        <w:lastRenderedPageBreak/>
        <w:t xml:space="preserve">Figure </w:t>
      </w:r>
      <w:fldSimple w:instr=" SEQ Figure \* ARABIC ">
        <w:r w:rsidR="00431297" w:rsidRPr="00627DA0">
          <w:t>22</w:t>
        </w:r>
      </w:fldSimple>
      <w:bookmarkEnd w:id="109"/>
      <w:r w:rsidRPr="00627DA0">
        <w:t>: Annual Distribution System Potential</w:t>
      </w:r>
      <w:bookmarkEnd w:id="110"/>
    </w:p>
    <w:p w14:paraId="6E49BAD6" w14:textId="45F43F12" w:rsidR="00D54797" w:rsidRPr="00627DA0" w:rsidRDefault="00172FFB" w:rsidP="00BB1A4E">
      <w:pPr>
        <w:jc w:val="center"/>
      </w:pPr>
      <w:r w:rsidRPr="00627DA0">
        <w:drawing>
          <wp:inline distT="0" distB="0" distL="0" distR="0" wp14:anchorId="0B9CB8D9" wp14:editId="129D4C12">
            <wp:extent cx="5948680" cy="2287954"/>
            <wp:effectExtent l="0" t="0" r="0" b="0"/>
            <wp:docPr id="841399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99326"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6A87B701" w14:textId="77777777" w:rsidR="007B7006" w:rsidRPr="00627DA0" w:rsidRDefault="007B7006" w:rsidP="007B7006">
      <w:pPr>
        <w:pStyle w:val="Heading3"/>
      </w:pPr>
      <w:r w:rsidRPr="00627DA0">
        <w:t>Agricultural</w:t>
      </w:r>
    </w:p>
    <w:p w14:paraId="738482B1" w14:textId="460F0FF4" w:rsidR="007B7006" w:rsidRPr="00627DA0" w:rsidRDefault="007B7006" w:rsidP="007B7006">
      <w:r w:rsidRPr="00627DA0">
        <w:t xml:space="preserve">The potential in the agricultural sector is driven by the irrigated acreage, number of pumps, annual dairy production, and number of farms in the </w:t>
      </w:r>
      <w:r w:rsidR="0032364D" w:rsidRPr="00627DA0">
        <w:t>Inland Power</w:t>
      </w:r>
      <w:r w:rsidR="001A773D" w:rsidRPr="00627DA0">
        <w:t>’s</w:t>
      </w:r>
      <w:r w:rsidRPr="00627DA0">
        <w:t xml:space="preserve"> service territory. Note, the scale used in </w:t>
      </w:r>
      <w:r w:rsidRPr="00627DA0">
        <w:fldChar w:fldCharType="begin"/>
      </w:r>
      <w:r w:rsidRPr="00627DA0">
        <w:instrText xml:space="preserve"> REF _Ref60749030 \h </w:instrText>
      </w:r>
      <w:r w:rsidRPr="00627DA0">
        <w:fldChar w:fldCharType="separate"/>
      </w:r>
      <w:r w:rsidR="00431297" w:rsidRPr="00627DA0">
        <w:t>Figure 23</w:t>
      </w:r>
      <w:r w:rsidRPr="00627DA0">
        <w:fldChar w:fldCharType="end"/>
      </w:r>
      <w:r w:rsidRPr="00627DA0">
        <w:t xml:space="preserve"> has changed significantly from what was used in other figures above. </w:t>
      </w:r>
    </w:p>
    <w:p w14:paraId="3D96BEA1" w14:textId="157B39A3" w:rsidR="007B7006" w:rsidRPr="00627DA0" w:rsidRDefault="001A773D" w:rsidP="007B7006">
      <w:r w:rsidRPr="00627DA0">
        <w:t xml:space="preserve">The project team </w:t>
      </w:r>
      <w:r w:rsidR="007B7006" w:rsidRPr="00627DA0">
        <w:t xml:space="preserve">updated the estimate </w:t>
      </w:r>
      <w:r w:rsidRPr="00627DA0">
        <w:t xml:space="preserve">of agricultural potential </w:t>
      </w:r>
      <w:r w:rsidR="007B7006" w:rsidRPr="00627DA0">
        <w:t xml:space="preserve">with the newly available 2022 Census of Agriculture. The overall result was a </w:t>
      </w:r>
      <w:r w:rsidR="005D2D7A" w:rsidRPr="00627DA0">
        <w:t>8</w:t>
      </w:r>
      <w:r w:rsidR="007B7006" w:rsidRPr="00627DA0">
        <w:t>% decrease in</w:t>
      </w:r>
      <w:r w:rsidR="005D2D7A" w:rsidRPr="00627DA0">
        <w:t xml:space="preserve"> 20-year cost-effective</w:t>
      </w:r>
      <w:r w:rsidR="007B7006" w:rsidRPr="00627DA0">
        <w:t xml:space="preserve"> potential</w:t>
      </w:r>
      <w:r w:rsidR="009A709D" w:rsidRPr="00627DA0">
        <w:t>.</w:t>
      </w:r>
    </w:p>
    <w:p w14:paraId="5B1C09EB" w14:textId="66EBC7C3" w:rsidR="007B7006" w:rsidRPr="00627DA0" w:rsidRDefault="007B7006" w:rsidP="007B7006">
      <w:pPr>
        <w:pStyle w:val="Caption"/>
      </w:pPr>
      <w:bookmarkStart w:id="111" w:name="_Ref60749030"/>
      <w:bookmarkStart w:id="112" w:name="_Toc198559174"/>
      <w:bookmarkStart w:id="113" w:name="_Toc207870722"/>
      <w:r w:rsidRPr="00627DA0">
        <w:t xml:space="preserve">Figure </w:t>
      </w:r>
      <w:fldSimple w:instr=" SEQ Figure \* ARABIC ">
        <w:r w:rsidR="00431297" w:rsidRPr="00627DA0">
          <w:t>23</w:t>
        </w:r>
      </w:fldSimple>
      <w:bookmarkEnd w:id="111"/>
      <w:r w:rsidRPr="00627DA0">
        <w:t>: Annual Agricultural Potential by End Use</w:t>
      </w:r>
      <w:bookmarkEnd w:id="112"/>
      <w:bookmarkEnd w:id="113"/>
    </w:p>
    <w:p w14:paraId="6BCE01BC" w14:textId="1BC118F9" w:rsidR="00D54797" w:rsidRPr="00627DA0" w:rsidRDefault="001A773D" w:rsidP="007B7006">
      <w:r w:rsidRPr="00627DA0">
        <w:drawing>
          <wp:inline distT="0" distB="0" distL="0" distR="0" wp14:anchorId="7A63C853" wp14:editId="61EB154E">
            <wp:extent cx="5948680" cy="2287954"/>
            <wp:effectExtent l="0" t="0" r="0" b="0"/>
            <wp:docPr id="469787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8718"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48680" cy="2287954"/>
                    </a:xfrm>
                    <a:prstGeom prst="rect">
                      <a:avLst/>
                    </a:prstGeom>
                    <a:noFill/>
                    <a:ln>
                      <a:noFill/>
                    </a:ln>
                  </pic:spPr>
                </pic:pic>
              </a:graphicData>
            </a:graphic>
          </wp:inline>
        </w:drawing>
      </w:r>
    </w:p>
    <w:p w14:paraId="5B1E2DA5" w14:textId="17786363" w:rsidR="000F5066" w:rsidRPr="00627DA0" w:rsidRDefault="000F5066" w:rsidP="000F5066">
      <w:r w:rsidRPr="00627DA0">
        <w:t xml:space="preserve">The breakdown of 10-year agricultural potential into end uses and measure categories is shown in </w:t>
      </w:r>
      <w:r w:rsidRPr="00627DA0">
        <w:fldChar w:fldCharType="begin"/>
      </w:r>
      <w:r w:rsidRPr="00627DA0">
        <w:instrText xml:space="preserve"> REF _Ref207350620 \h </w:instrText>
      </w:r>
      <w:r w:rsidRPr="00627DA0">
        <w:fldChar w:fldCharType="separate"/>
      </w:r>
      <w:r w:rsidR="00431297" w:rsidRPr="00627DA0">
        <w:t>Figure 24</w:t>
      </w:r>
      <w:r w:rsidRPr="00627DA0">
        <w:fldChar w:fldCharType="end"/>
      </w:r>
      <w:r w:rsidRPr="00627DA0">
        <w:t>.</w:t>
      </w:r>
    </w:p>
    <w:p w14:paraId="0EBADBD4" w14:textId="4EF59A06" w:rsidR="000F5066" w:rsidRPr="00627DA0" w:rsidRDefault="000F5066" w:rsidP="000F5066">
      <w:pPr>
        <w:pStyle w:val="Caption"/>
      </w:pPr>
      <w:bookmarkStart w:id="114" w:name="_Ref207350620"/>
      <w:bookmarkStart w:id="115" w:name="_Toc207870723"/>
      <w:r w:rsidRPr="00627DA0">
        <w:lastRenderedPageBreak/>
        <w:t xml:space="preserve">Figure </w:t>
      </w:r>
      <w:fldSimple w:instr=" SEQ Figure \* ARABIC ">
        <w:r w:rsidR="00431297" w:rsidRPr="00627DA0">
          <w:t>24</w:t>
        </w:r>
      </w:fldSimple>
      <w:bookmarkEnd w:id="114"/>
      <w:r w:rsidRPr="00627DA0">
        <w:t>: Agricultural Potential by End Use and Measure Category</w:t>
      </w:r>
      <w:bookmarkEnd w:id="115"/>
    </w:p>
    <w:p w14:paraId="0C2F49CB" w14:textId="389B5852" w:rsidR="000F5066" w:rsidRPr="00627DA0" w:rsidRDefault="000F5066" w:rsidP="000F5066">
      <w:r w:rsidRPr="00627DA0">
        <w:drawing>
          <wp:inline distT="0" distB="0" distL="0" distR="0" wp14:anchorId="7159AD14" wp14:editId="4A636373">
            <wp:extent cx="5948680" cy="2230755"/>
            <wp:effectExtent l="0" t="0" r="0" b="0"/>
            <wp:docPr id="618313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13340" name="Picture 2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48680" cy="2230755"/>
                    </a:xfrm>
                    <a:prstGeom prst="rect">
                      <a:avLst/>
                    </a:prstGeom>
                    <a:noFill/>
                    <a:ln>
                      <a:noFill/>
                    </a:ln>
                  </pic:spPr>
                </pic:pic>
              </a:graphicData>
            </a:graphic>
          </wp:inline>
        </w:drawing>
      </w:r>
    </w:p>
    <w:p w14:paraId="50EE256A" w14:textId="77777777" w:rsidR="000F5066" w:rsidRPr="00627DA0" w:rsidRDefault="000F5066" w:rsidP="007B7006"/>
    <w:p w14:paraId="70F6CE2F" w14:textId="77777777" w:rsidR="00D54797" w:rsidRPr="00627DA0" w:rsidRDefault="00D54797">
      <w:pPr>
        <w:rPr>
          <w:rFonts w:asciiTheme="majorHAnsi" w:eastAsiaTheme="majorEastAsia" w:hAnsiTheme="majorHAnsi" w:cstheme="majorBidi"/>
          <w:b/>
          <w:color w:val="002C7C" w:themeColor="accent1"/>
          <w:sz w:val="32"/>
          <w:szCs w:val="32"/>
        </w:rPr>
      </w:pPr>
      <w:bookmarkStart w:id="116" w:name="_Toc49160915"/>
      <w:bookmarkStart w:id="117" w:name="_Toc140047104"/>
      <w:r w:rsidRPr="00627DA0">
        <w:br w:type="page"/>
      </w:r>
    </w:p>
    <w:p w14:paraId="59257D5C" w14:textId="1BCD996D" w:rsidR="00D54797" w:rsidRPr="00627DA0" w:rsidRDefault="0009324B" w:rsidP="00D54797">
      <w:pPr>
        <w:pStyle w:val="Heading1"/>
      </w:pPr>
      <w:bookmarkStart w:id="118" w:name="_Toc207870680"/>
      <w:r w:rsidRPr="00627DA0">
        <w:lastRenderedPageBreak/>
        <w:t>Sensitivity</w:t>
      </w:r>
      <w:r w:rsidR="00D54797" w:rsidRPr="00627DA0">
        <w:t xml:space="preserve"> Results</w:t>
      </w:r>
      <w:bookmarkEnd w:id="116"/>
      <w:bookmarkEnd w:id="117"/>
      <w:bookmarkEnd w:id="118"/>
    </w:p>
    <w:p w14:paraId="0E471A33" w14:textId="28D0CCAB" w:rsidR="00D54797" w:rsidRPr="00627DA0" w:rsidRDefault="00D54797" w:rsidP="00D54797">
      <w:r w:rsidRPr="00627DA0">
        <w:t xml:space="preserve">This section discusses the results of </w:t>
      </w:r>
      <w:r w:rsidR="00C52361" w:rsidRPr="00627DA0">
        <w:t xml:space="preserve">two </w:t>
      </w:r>
      <w:r w:rsidR="0009324B" w:rsidRPr="00627DA0">
        <w:t>sensitivity analys</w:t>
      </w:r>
      <w:r w:rsidR="00C52361" w:rsidRPr="00627DA0">
        <w:t>e</w:t>
      </w:r>
      <w:r w:rsidR="0009324B" w:rsidRPr="00627DA0">
        <w:t xml:space="preserve">s </w:t>
      </w:r>
      <w:r w:rsidRPr="00627DA0">
        <w:t>that w</w:t>
      </w:r>
      <w:r w:rsidR="00C52361" w:rsidRPr="00627DA0">
        <w:t>ere</w:t>
      </w:r>
      <w:r w:rsidRPr="00627DA0">
        <w:t xml:space="preserve"> evaluated in addition to the </w:t>
      </w:r>
      <w:r w:rsidR="008068E3" w:rsidRPr="00627DA0">
        <w:t>base</w:t>
      </w:r>
      <w:r w:rsidR="00E623BA" w:rsidRPr="00627DA0">
        <w:t xml:space="preserve"> case</w:t>
      </w:r>
      <w:r w:rsidR="008068E3" w:rsidRPr="00627DA0">
        <w:t xml:space="preserve"> </w:t>
      </w:r>
      <w:r w:rsidR="00C52361" w:rsidRPr="00627DA0">
        <w:t>results</w:t>
      </w:r>
      <w:r w:rsidRPr="00627DA0">
        <w:t xml:space="preserve"> </w:t>
      </w:r>
      <w:r w:rsidR="00141BAE" w:rsidRPr="00627DA0">
        <w:t>described</w:t>
      </w:r>
      <w:r w:rsidRPr="00627DA0">
        <w:t xml:space="preserve"> in the </w:t>
      </w:r>
      <w:r w:rsidR="008068E3" w:rsidRPr="00627DA0">
        <w:t xml:space="preserve">preceding </w:t>
      </w:r>
      <w:r w:rsidRPr="00627DA0">
        <w:t>section</w:t>
      </w:r>
      <w:r w:rsidR="008068E3" w:rsidRPr="00627DA0">
        <w:t>s</w:t>
      </w:r>
      <w:r w:rsidRPr="00627DA0">
        <w:t xml:space="preserve">. These </w:t>
      </w:r>
      <w:r w:rsidR="00854EEE" w:rsidRPr="00627DA0">
        <w:t>sensitivities</w:t>
      </w:r>
      <w:r w:rsidRPr="00627DA0">
        <w:t xml:space="preserve"> e</w:t>
      </w:r>
      <w:r w:rsidR="00CD404B" w:rsidRPr="00627DA0">
        <w:t>xamined</w:t>
      </w:r>
      <w:r w:rsidRPr="00627DA0">
        <w:t xml:space="preserve"> low and high variations </w:t>
      </w:r>
      <w:r w:rsidR="00DB7532" w:rsidRPr="00627DA0">
        <w:t>of</w:t>
      </w:r>
      <w:r w:rsidRPr="00627DA0">
        <w:t xml:space="preserve"> the avoided costs values </w:t>
      </w:r>
      <w:r w:rsidR="005E58C5" w:rsidRPr="00627DA0">
        <w:t>to provide</w:t>
      </w:r>
      <w:r w:rsidRPr="00627DA0">
        <w:t xml:space="preserve"> </w:t>
      </w:r>
      <w:r w:rsidR="005E58C5" w:rsidRPr="00627DA0">
        <w:t>a</w:t>
      </w:r>
      <w:r w:rsidRPr="00627DA0">
        <w:t xml:space="preserve"> range of possible outcomes </w:t>
      </w:r>
      <w:r w:rsidR="00F86350" w:rsidRPr="00627DA0">
        <w:t>given</w:t>
      </w:r>
      <w:r w:rsidRPr="00627DA0">
        <w:t xml:space="preserve"> the uncertainty </w:t>
      </w:r>
      <w:r w:rsidR="005E384F" w:rsidRPr="00627DA0">
        <w:t xml:space="preserve">inherent </w:t>
      </w:r>
      <w:r w:rsidR="00605211" w:rsidRPr="00627DA0">
        <w:t>in</w:t>
      </w:r>
      <w:r w:rsidR="003A7649" w:rsidRPr="00627DA0">
        <w:t xml:space="preserve"> estimating </w:t>
      </w:r>
      <w:r w:rsidR="00605211" w:rsidRPr="00627DA0">
        <w:t xml:space="preserve">these </w:t>
      </w:r>
      <w:r w:rsidR="003A7649" w:rsidRPr="00627DA0">
        <w:t>costs over a 20-year period</w:t>
      </w:r>
      <w:r w:rsidRPr="00627DA0">
        <w:t>. Th</w:t>
      </w:r>
      <w:r w:rsidR="005E384F" w:rsidRPr="00627DA0">
        <w:t>i</w:t>
      </w:r>
      <w:r w:rsidRPr="00627DA0">
        <w:t>s allow</w:t>
      </w:r>
      <w:r w:rsidR="005E384F" w:rsidRPr="00627DA0">
        <w:t>s</w:t>
      </w:r>
      <w:r w:rsidRPr="00627DA0">
        <w:t xml:space="preserve"> </w:t>
      </w:r>
      <w:r w:rsidR="0032364D" w:rsidRPr="00627DA0">
        <w:t>Inland Power</w:t>
      </w:r>
      <w:r w:rsidRPr="00627DA0">
        <w:t xml:space="preserve"> to understand </w:t>
      </w:r>
      <w:r w:rsidR="004207CF" w:rsidRPr="00627DA0">
        <w:t xml:space="preserve">how </w:t>
      </w:r>
      <w:r w:rsidRPr="00627DA0">
        <w:t xml:space="preserve">the cost-effective potential </w:t>
      </w:r>
      <w:r w:rsidR="004207CF" w:rsidRPr="00627DA0">
        <w:t>varies</w:t>
      </w:r>
      <w:r w:rsidRPr="00627DA0">
        <w:t xml:space="preserve"> </w:t>
      </w:r>
      <w:r w:rsidR="004207CF" w:rsidRPr="00627DA0">
        <w:t xml:space="preserve">with changes </w:t>
      </w:r>
      <w:r w:rsidRPr="00627DA0">
        <w:t xml:space="preserve">in </w:t>
      </w:r>
      <w:r w:rsidR="00200CEB" w:rsidRPr="00627DA0">
        <w:t xml:space="preserve">the </w:t>
      </w:r>
      <w:r w:rsidRPr="00627DA0">
        <w:t xml:space="preserve">avoided cost. All other inputs were held constant. </w:t>
      </w:r>
    </w:p>
    <w:p w14:paraId="58C4DFF5" w14:textId="00DDFA60" w:rsidR="00D54797" w:rsidRPr="00627DA0" w:rsidRDefault="00D54797" w:rsidP="00D54797">
      <w:r w:rsidRPr="00627DA0">
        <w:fldChar w:fldCharType="begin"/>
      </w:r>
      <w:r w:rsidRPr="00627DA0">
        <w:instrText xml:space="preserve"> REF _Ref69468504 \h </w:instrText>
      </w:r>
      <w:r w:rsidRPr="00627DA0">
        <w:fldChar w:fldCharType="separate"/>
      </w:r>
      <w:r w:rsidR="00431297" w:rsidRPr="00627DA0">
        <w:t>Table 10</w:t>
      </w:r>
      <w:r w:rsidRPr="00627DA0">
        <w:fldChar w:fldCharType="end"/>
      </w:r>
      <w:r w:rsidRPr="00627DA0">
        <w:t xml:space="preserve"> summarizes the avoided cost assumptions used in each </w:t>
      </w:r>
      <w:r w:rsidR="00200CEB" w:rsidRPr="00627DA0">
        <w:t>sensitivity</w:t>
      </w:r>
      <w:r w:rsidRPr="00627DA0">
        <w:t>, which are discussed further in</w:t>
      </w:r>
      <w:r w:rsidR="00200CEB" w:rsidRPr="00627DA0">
        <w:t xml:space="preserve"> Appendix IV</w:t>
      </w:r>
      <w:r w:rsidRPr="00627DA0">
        <w:t>.</w:t>
      </w:r>
    </w:p>
    <w:p w14:paraId="13D09425" w14:textId="5495C78E" w:rsidR="00D54797" w:rsidRPr="00627DA0" w:rsidRDefault="00D54797" w:rsidP="00D54797">
      <w:pPr>
        <w:pStyle w:val="Caption"/>
      </w:pPr>
      <w:bookmarkStart w:id="119" w:name="_Ref69468504"/>
      <w:bookmarkStart w:id="120" w:name="_Toc140047160"/>
      <w:bookmarkStart w:id="121" w:name="_Toc207870739"/>
      <w:r w:rsidRPr="00627DA0">
        <w:t xml:space="preserve">Table </w:t>
      </w:r>
      <w:r w:rsidRPr="00627DA0">
        <w:fldChar w:fldCharType="begin"/>
      </w:r>
      <w:r w:rsidRPr="00627DA0">
        <w:instrText>SEQ Table \* ARABIC</w:instrText>
      </w:r>
      <w:r w:rsidRPr="00627DA0">
        <w:fldChar w:fldCharType="separate"/>
      </w:r>
      <w:r w:rsidR="00431297" w:rsidRPr="00627DA0">
        <w:t>10</w:t>
      </w:r>
      <w:r w:rsidRPr="00627DA0">
        <w:fldChar w:fldCharType="end"/>
      </w:r>
      <w:bookmarkEnd w:id="119"/>
      <w:r w:rsidRPr="00627DA0">
        <w:t>: Avoided Cost Assumptions by S</w:t>
      </w:r>
      <w:bookmarkEnd w:id="120"/>
      <w:r w:rsidR="00B526EB" w:rsidRPr="00627DA0">
        <w:t>ensitivity</w:t>
      </w:r>
      <w:bookmarkEnd w:id="121"/>
    </w:p>
    <w:tbl>
      <w:tblPr>
        <w:tblStyle w:val="TableGrid"/>
        <w:tblW w:w="9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2579"/>
        <w:gridCol w:w="1874"/>
        <w:gridCol w:w="1874"/>
        <w:gridCol w:w="1875"/>
      </w:tblGrid>
      <w:tr w:rsidR="00296E6A" w:rsidRPr="00627DA0" w14:paraId="0107E2B0" w14:textId="77777777" w:rsidTr="002B151F">
        <w:trPr>
          <w:trHeight w:val="315"/>
        </w:trPr>
        <w:tc>
          <w:tcPr>
            <w:tcW w:w="1165" w:type="dxa"/>
            <w:tcBorders>
              <w:top w:val="single" w:sz="12" w:space="0" w:color="auto"/>
              <w:bottom w:val="single" w:sz="12" w:space="0" w:color="auto"/>
            </w:tcBorders>
            <w:shd w:val="clear" w:color="auto" w:fill="00205C" w:themeFill="accent1" w:themeFillShade="BF"/>
          </w:tcPr>
          <w:p w14:paraId="79576554" w14:textId="77777777" w:rsidR="00296E6A" w:rsidRPr="00627DA0" w:rsidRDefault="00296E6A" w:rsidP="002B151F">
            <w:pPr>
              <w:rPr>
                <w:rFonts w:cs="Calibri Light"/>
                <w:sz w:val="20"/>
                <w:szCs w:val="20"/>
              </w:rPr>
            </w:pPr>
          </w:p>
        </w:tc>
        <w:tc>
          <w:tcPr>
            <w:tcW w:w="2579" w:type="dxa"/>
            <w:tcBorders>
              <w:top w:val="single" w:sz="12" w:space="0" w:color="auto"/>
              <w:bottom w:val="single" w:sz="12" w:space="0" w:color="auto"/>
            </w:tcBorders>
            <w:shd w:val="clear" w:color="auto" w:fill="00205C" w:themeFill="accent1" w:themeFillShade="BF"/>
            <w:vAlign w:val="center"/>
          </w:tcPr>
          <w:p w14:paraId="28D7301E" w14:textId="77777777" w:rsidR="00296E6A" w:rsidRPr="00627DA0" w:rsidRDefault="00296E6A" w:rsidP="002B151F">
            <w:pPr>
              <w:jc w:val="left"/>
              <w:rPr>
                <w:rFonts w:cs="Calibri Light"/>
                <w:b/>
                <w:bCs/>
                <w:sz w:val="20"/>
                <w:szCs w:val="20"/>
              </w:rPr>
            </w:pPr>
          </w:p>
        </w:tc>
        <w:tc>
          <w:tcPr>
            <w:tcW w:w="1874" w:type="dxa"/>
            <w:tcBorders>
              <w:top w:val="single" w:sz="12" w:space="0" w:color="auto"/>
              <w:bottom w:val="single" w:sz="12" w:space="0" w:color="auto"/>
            </w:tcBorders>
            <w:shd w:val="clear" w:color="auto" w:fill="00205C" w:themeFill="accent1" w:themeFillShade="BF"/>
            <w:vAlign w:val="center"/>
          </w:tcPr>
          <w:p w14:paraId="625DB840" w14:textId="77777777" w:rsidR="00296E6A" w:rsidRPr="00627DA0" w:rsidRDefault="00296E6A" w:rsidP="002B151F">
            <w:pPr>
              <w:jc w:val="center"/>
              <w:rPr>
                <w:rFonts w:cs="Calibri Light"/>
                <w:b/>
                <w:bCs/>
                <w:sz w:val="20"/>
                <w:szCs w:val="20"/>
              </w:rPr>
            </w:pPr>
            <w:r w:rsidRPr="00627DA0">
              <w:rPr>
                <w:rFonts w:cs="Calibri Light"/>
                <w:b/>
                <w:bCs/>
                <w:sz w:val="20"/>
                <w:szCs w:val="20"/>
              </w:rPr>
              <w:t>Low Sensitivity</w:t>
            </w:r>
          </w:p>
        </w:tc>
        <w:tc>
          <w:tcPr>
            <w:tcW w:w="1874" w:type="dxa"/>
            <w:tcBorders>
              <w:top w:val="single" w:sz="12" w:space="0" w:color="auto"/>
              <w:bottom w:val="single" w:sz="12" w:space="0" w:color="auto"/>
            </w:tcBorders>
            <w:shd w:val="clear" w:color="auto" w:fill="00205C" w:themeFill="accent1" w:themeFillShade="BF"/>
            <w:vAlign w:val="center"/>
          </w:tcPr>
          <w:p w14:paraId="407268C9" w14:textId="77777777" w:rsidR="00296E6A" w:rsidRPr="00627DA0" w:rsidRDefault="00296E6A" w:rsidP="002B151F">
            <w:pPr>
              <w:jc w:val="center"/>
              <w:rPr>
                <w:rFonts w:cs="Calibri Light"/>
                <w:b/>
                <w:bCs/>
                <w:sz w:val="20"/>
                <w:szCs w:val="20"/>
              </w:rPr>
            </w:pPr>
            <w:r w:rsidRPr="00627DA0">
              <w:rPr>
                <w:rFonts w:cs="Calibri Light"/>
                <w:b/>
                <w:bCs/>
                <w:sz w:val="20"/>
                <w:szCs w:val="20"/>
              </w:rPr>
              <w:t>Base Case</w:t>
            </w:r>
          </w:p>
        </w:tc>
        <w:tc>
          <w:tcPr>
            <w:tcW w:w="1875" w:type="dxa"/>
            <w:tcBorders>
              <w:top w:val="single" w:sz="12" w:space="0" w:color="auto"/>
              <w:bottom w:val="single" w:sz="12" w:space="0" w:color="auto"/>
            </w:tcBorders>
            <w:shd w:val="clear" w:color="auto" w:fill="00205C" w:themeFill="accent1" w:themeFillShade="BF"/>
            <w:vAlign w:val="center"/>
          </w:tcPr>
          <w:p w14:paraId="002AB254" w14:textId="77777777" w:rsidR="00296E6A" w:rsidRPr="00627DA0" w:rsidRDefault="00296E6A" w:rsidP="002B151F">
            <w:pPr>
              <w:jc w:val="center"/>
              <w:rPr>
                <w:rFonts w:cs="Calibri Light"/>
                <w:b/>
                <w:bCs/>
                <w:sz w:val="20"/>
                <w:szCs w:val="20"/>
              </w:rPr>
            </w:pPr>
            <w:r w:rsidRPr="00627DA0">
              <w:rPr>
                <w:rFonts w:cs="Calibri Light"/>
                <w:b/>
                <w:bCs/>
                <w:sz w:val="20"/>
                <w:szCs w:val="20"/>
              </w:rPr>
              <w:t>High Sensitivity</w:t>
            </w:r>
          </w:p>
        </w:tc>
      </w:tr>
      <w:tr w:rsidR="00296E6A" w:rsidRPr="00627DA0" w14:paraId="4E5E834B" w14:textId="77777777" w:rsidTr="002B151F">
        <w:trPr>
          <w:trHeight w:val="831"/>
        </w:trPr>
        <w:tc>
          <w:tcPr>
            <w:tcW w:w="1165" w:type="dxa"/>
            <w:vMerge w:val="restart"/>
            <w:tcBorders>
              <w:top w:val="single" w:sz="12" w:space="0" w:color="auto"/>
            </w:tcBorders>
            <w:vAlign w:val="center"/>
          </w:tcPr>
          <w:p w14:paraId="269026D3" w14:textId="77777777" w:rsidR="00296E6A" w:rsidRPr="00627DA0" w:rsidRDefault="00296E6A" w:rsidP="002B151F">
            <w:pPr>
              <w:jc w:val="center"/>
              <w:rPr>
                <w:rFonts w:cs="Calibri Light"/>
                <w:b/>
                <w:bCs/>
                <w:sz w:val="20"/>
                <w:szCs w:val="20"/>
              </w:rPr>
            </w:pPr>
            <w:r w:rsidRPr="00627DA0">
              <w:rPr>
                <w:rFonts w:cs="Calibri Light"/>
                <w:b/>
                <w:bCs/>
                <w:sz w:val="20"/>
                <w:szCs w:val="20"/>
              </w:rPr>
              <w:t>Energy Values</w:t>
            </w:r>
          </w:p>
        </w:tc>
        <w:tc>
          <w:tcPr>
            <w:tcW w:w="2579" w:type="dxa"/>
            <w:tcBorders>
              <w:top w:val="single" w:sz="12" w:space="0" w:color="auto"/>
              <w:bottom w:val="single" w:sz="4" w:space="0" w:color="auto"/>
            </w:tcBorders>
            <w:shd w:val="clear" w:color="auto" w:fill="F2F2F2" w:themeFill="background1" w:themeFillShade="F2"/>
            <w:vAlign w:val="center"/>
          </w:tcPr>
          <w:p w14:paraId="032E26F0" w14:textId="77777777" w:rsidR="00296E6A" w:rsidRPr="00627DA0" w:rsidRDefault="00296E6A" w:rsidP="002B151F">
            <w:pPr>
              <w:jc w:val="center"/>
              <w:rPr>
                <w:rFonts w:cs="Calibri Light"/>
                <w:b/>
                <w:bCs/>
                <w:sz w:val="20"/>
                <w:szCs w:val="20"/>
              </w:rPr>
            </w:pPr>
            <w:r w:rsidRPr="00627DA0">
              <w:rPr>
                <w:rFonts w:cs="Calibri Light"/>
                <w:b/>
                <w:bCs/>
                <w:sz w:val="20"/>
                <w:szCs w:val="20"/>
              </w:rPr>
              <w:t>Avoided Energy Costs</w:t>
            </w:r>
          </w:p>
          <w:p w14:paraId="1C98796A" w14:textId="77777777" w:rsidR="00296E6A" w:rsidRPr="00627DA0" w:rsidRDefault="00296E6A" w:rsidP="002B151F">
            <w:pPr>
              <w:jc w:val="center"/>
              <w:rPr>
                <w:rFonts w:cs="Calibri Light"/>
                <w:b/>
                <w:bCs/>
                <w:sz w:val="20"/>
                <w:szCs w:val="20"/>
              </w:rPr>
            </w:pPr>
            <w:r w:rsidRPr="00627DA0">
              <w:rPr>
                <w:rFonts w:cs="Calibri Light"/>
                <w:b/>
                <w:bCs/>
                <w:sz w:val="20"/>
                <w:szCs w:val="20"/>
              </w:rPr>
              <w:t>(20-Year Levelized Price, 2016$/MWh)</w:t>
            </w:r>
          </w:p>
        </w:tc>
        <w:tc>
          <w:tcPr>
            <w:tcW w:w="1874" w:type="dxa"/>
            <w:tcBorders>
              <w:top w:val="single" w:sz="12" w:space="0" w:color="auto"/>
              <w:bottom w:val="single" w:sz="4" w:space="0" w:color="auto"/>
            </w:tcBorders>
            <w:shd w:val="clear" w:color="auto" w:fill="F2F2F2" w:themeFill="background1" w:themeFillShade="F2"/>
            <w:vAlign w:val="center"/>
          </w:tcPr>
          <w:p w14:paraId="2076A224" w14:textId="77777777" w:rsidR="00296E6A" w:rsidRPr="00627DA0" w:rsidRDefault="00296E6A" w:rsidP="002B151F">
            <w:pPr>
              <w:jc w:val="center"/>
              <w:rPr>
                <w:rFonts w:cs="Calibri Light"/>
                <w:sz w:val="20"/>
                <w:szCs w:val="20"/>
              </w:rPr>
            </w:pPr>
            <w:r w:rsidRPr="00627DA0">
              <w:rPr>
                <w:rFonts w:cs="Calibri Light"/>
                <w:sz w:val="20"/>
                <w:szCs w:val="20"/>
              </w:rPr>
              <w:t>Market Forecast minus 20%-80%</w:t>
            </w:r>
          </w:p>
          <w:p w14:paraId="02370644" w14:textId="77777777" w:rsidR="00296E6A" w:rsidRPr="00627DA0" w:rsidRDefault="00296E6A" w:rsidP="002B151F">
            <w:pPr>
              <w:jc w:val="center"/>
              <w:rPr>
                <w:rFonts w:cs="Calibri Light"/>
                <w:sz w:val="20"/>
                <w:szCs w:val="20"/>
              </w:rPr>
            </w:pPr>
            <w:r w:rsidRPr="00627DA0">
              <w:rPr>
                <w:rFonts w:cs="Calibri Light"/>
                <w:sz w:val="20"/>
                <w:szCs w:val="20"/>
              </w:rPr>
              <w:t xml:space="preserve">($19) </w:t>
            </w:r>
          </w:p>
        </w:tc>
        <w:tc>
          <w:tcPr>
            <w:tcW w:w="1874" w:type="dxa"/>
            <w:tcBorders>
              <w:top w:val="single" w:sz="12" w:space="0" w:color="auto"/>
              <w:bottom w:val="single" w:sz="4" w:space="0" w:color="auto"/>
            </w:tcBorders>
            <w:shd w:val="clear" w:color="auto" w:fill="F2F2F2" w:themeFill="background1" w:themeFillShade="F2"/>
            <w:vAlign w:val="center"/>
          </w:tcPr>
          <w:p w14:paraId="13F80140" w14:textId="77777777" w:rsidR="00296E6A" w:rsidRPr="00627DA0" w:rsidRDefault="00296E6A" w:rsidP="002B151F">
            <w:pPr>
              <w:jc w:val="center"/>
              <w:rPr>
                <w:rFonts w:cs="Calibri Light"/>
                <w:sz w:val="20"/>
                <w:szCs w:val="20"/>
              </w:rPr>
            </w:pPr>
            <w:r w:rsidRPr="00627DA0">
              <w:rPr>
                <w:rFonts w:cs="Calibri Light"/>
                <w:sz w:val="20"/>
                <w:szCs w:val="20"/>
              </w:rPr>
              <w:t>Market Forecast</w:t>
            </w:r>
          </w:p>
          <w:p w14:paraId="2C549D9D" w14:textId="77777777" w:rsidR="00296E6A" w:rsidRPr="00627DA0" w:rsidRDefault="00296E6A" w:rsidP="002B151F">
            <w:pPr>
              <w:jc w:val="center"/>
              <w:rPr>
                <w:rFonts w:cs="Calibri Light"/>
                <w:sz w:val="20"/>
                <w:szCs w:val="20"/>
              </w:rPr>
            </w:pPr>
            <w:r w:rsidRPr="00627DA0">
              <w:rPr>
                <w:rFonts w:cs="Calibri Light"/>
                <w:sz w:val="20"/>
                <w:szCs w:val="20"/>
              </w:rPr>
              <w:t>($35)</w:t>
            </w:r>
          </w:p>
        </w:tc>
        <w:tc>
          <w:tcPr>
            <w:tcW w:w="1875" w:type="dxa"/>
            <w:tcBorders>
              <w:top w:val="single" w:sz="12" w:space="0" w:color="auto"/>
              <w:bottom w:val="single" w:sz="4" w:space="0" w:color="auto"/>
            </w:tcBorders>
            <w:shd w:val="clear" w:color="auto" w:fill="F2F2F2" w:themeFill="background1" w:themeFillShade="F2"/>
            <w:vAlign w:val="center"/>
          </w:tcPr>
          <w:p w14:paraId="452F64B4" w14:textId="77777777" w:rsidR="00296E6A" w:rsidRPr="00627DA0" w:rsidRDefault="00296E6A" w:rsidP="002B151F">
            <w:pPr>
              <w:jc w:val="center"/>
              <w:rPr>
                <w:rFonts w:cs="Calibri Light"/>
                <w:sz w:val="20"/>
                <w:szCs w:val="20"/>
              </w:rPr>
            </w:pPr>
            <w:r w:rsidRPr="00627DA0">
              <w:rPr>
                <w:rFonts w:cs="Calibri Light"/>
                <w:sz w:val="20"/>
                <w:szCs w:val="20"/>
              </w:rPr>
              <w:t>Market Forecast plus 20%-80%</w:t>
            </w:r>
          </w:p>
          <w:p w14:paraId="463730F8" w14:textId="77777777" w:rsidR="00296E6A" w:rsidRPr="00627DA0" w:rsidRDefault="00296E6A" w:rsidP="002B151F">
            <w:pPr>
              <w:jc w:val="center"/>
              <w:rPr>
                <w:rFonts w:cs="Calibri Light"/>
                <w:sz w:val="20"/>
                <w:szCs w:val="20"/>
              </w:rPr>
            </w:pPr>
            <w:r w:rsidRPr="00627DA0">
              <w:rPr>
                <w:rFonts w:cs="Calibri Light"/>
                <w:sz w:val="20"/>
                <w:szCs w:val="20"/>
              </w:rPr>
              <w:t>($50)</w:t>
            </w:r>
          </w:p>
        </w:tc>
      </w:tr>
      <w:tr w:rsidR="00296E6A" w:rsidRPr="00627DA0" w14:paraId="50076A40" w14:textId="77777777" w:rsidTr="002B151F">
        <w:trPr>
          <w:trHeight w:val="831"/>
        </w:trPr>
        <w:tc>
          <w:tcPr>
            <w:tcW w:w="1165" w:type="dxa"/>
            <w:vMerge/>
          </w:tcPr>
          <w:p w14:paraId="1ADFAEFD" w14:textId="77777777" w:rsidR="00296E6A" w:rsidRPr="00627DA0" w:rsidRDefault="00296E6A" w:rsidP="002B151F">
            <w:pPr>
              <w:rPr>
                <w:rFonts w:cs="Calibri Light"/>
                <w:b/>
                <w:bCs/>
                <w:sz w:val="20"/>
                <w:szCs w:val="20"/>
              </w:rPr>
            </w:pPr>
          </w:p>
        </w:tc>
        <w:tc>
          <w:tcPr>
            <w:tcW w:w="2579" w:type="dxa"/>
            <w:tcBorders>
              <w:top w:val="single" w:sz="4" w:space="0" w:color="auto"/>
              <w:bottom w:val="single" w:sz="4" w:space="0" w:color="auto"/>
            </w:tcBorders>
            <w:vAlign w:val="center"/>
          </w:tcPr>
          <w:p w14:paraId="1248D21D" w14:textId="77777777" w:rsidR="00296E6A" w:rsidRPr="00627DA0" w:rsidRDefault="00296E6A" w:rsidP="002B151F">
            <w:pPr>
              <w:jc w:val="center"/>
              <w:rPr>
                <w:rFonts w:cs="Calibri Light"/>
                <w:b/>
                <w:bCs/>
                <w:sz w:val="20"/>
                <w:szCs w:val="20"/>
              </w:rPr>
            </w:pPr>
            <w:r w:rsidRPr="00627DA0">
              <w:rPr>
                <w:rFonts w:cs="Calibri Light"/>
                <w:b/>
                <w:bCs/>
                <w:sz w:val="20"/>
                <w:szCs w:val="20"/>
              </w:rPr>
              <w:t>Social Cost CO</w:t>
            </w:r>
            <w:r w:rsidRPr="00627DA0">
              <w:rPr>
                <w:rFonts w:cs="Calibri Light"/>
                <w:b/>
                <w:bCs/>
                <w:sz w:val="20"/>
                <w:szCs w:val="20"/>
                <w:vertAlign w:val="subscript"/>
              </w:rPr>
              <w:t>2</w:t>
            </w:r>
          </w:p>
        </w:tc>
        <w:tc>
          <w:tcPr>
            <w:tcW w:w="1874" w:type="dxa"/>
            <w:tcBorders>
              <w:top w:val="single" w:sz="4" w:space="0" w:color="auto"/>
              <w:bottom w:val="single" w:sz="4" w:space="0" w:color="auto"/>
            </w:tcBorders>
            <w:vAlign w:val="center"/>
          </w:tcPr>
          <w:p w14:paraId="0EB170D7" w14:textId="77777777" w:rsidR="00296E6A" w:rsidRPr="00627DA0" w:rsidRDefault="00296E6A" w:rsidP="002B151F">
            <w:pPr>
              <w:jc w:val="center"/>
              <w:rPr>
                <w:rFonts w:cs="Calibri Light"/>
                <w:sz w:val="20"/>
                <w:szCs w:val="20"/>
              </w:rPr>
            </w:pPr>
            <w:r w:rsidRPr="00627DA0">
              <w:rPr>
                <w:rFonts w:cs="Calibri Light"/>
                <w:sz w:val="20"/>
                <w:szCs w:val="20"/>
              </w:rPr>
              <w:t>Federal 2.5% Discount Rate Values</w:t>
            </w:r>
          </w:p>
        </w:tc>
        <w:tc>
          <w:tcPr>
            <w:tcW w:w="1874" w:type="dxa"/>
            <w:tcBorders>
              <w:top w:val="single" w:sz="4" w:space="0" w:color="auto"/>
              <w:bottom w:val="single" w:sz="4" w:space="0" w:color="auto"/>
            </w:tcBorders>
            <w:vAlign w:val="center"/>
          </w:tcPr>
          <w:p w14:paraId="48429476" w14:textId="77777777" w:rsidR="00296E6A" w:rsidRPr="00627DA0" w:rsidRDefault="00296E6A" w:rsidP="002B151F">
            <w:pPr>
              <w:jc w:val="center"/>
              <w:rPr>
                <w:rFonts w:cs="Calibri Light"/>
                <w:sz w:val="20"/>
                <w:szCs w:val="20"/>
              </w:rPr>
            </w:pPr>
            <w:r w:rsidRPr="00627DA0">
              <w:rPr>
                <w:rFonts w:cs="Calibri Light"/>
                <w:sz w:val="20"/>
                <w:szCs w:val="20"/>
              </w:rPr>
              <w:t>Federal 2.5% Discount Rate Values</w:t>
            </w:r>
          </w:p>
        </w:tc>
        <w:tc>
          <w:tcPr>
            <w:tcW w:w="1875" w:type="dxa"/>
            <w:tcBorders>
              <w:top w:val="single" w:sz="4" w:space="0" w:color="auto"/>
              <w:bottom w:val="single" w:sz="4" w:space="0" w:color="auto"/>
            </w:tcBorders>
            <w:vAlign w:val="center"/>
          </w:tcPr>
          <w:p w14:paraId="3D466116" w14:textId="77777777" w:rsidR="00296E6A" w:rsidRPr="00627DA0" w:rsidRDefault="00296E6A" w:rsidP="002B151F">
            <w:pPr>
              <w:jc w:val="center"/>
              <w:rPr>
                <w:rFonts w:cs="Calibri Light"/>
                <w:sz w:val="20"/>
                <w:szCs w:val="20"/>
              </w:rPr>
            </w:pPr>
            <w:r w:rsidRPr="00627DA0">
              <w:rPr>
                <w:rFonts w:cs="Calibri Light"/>
                <w:sz w:val="20"/>
                <w:szCs w:val="20"/>
              </w:rPr>
              <w:t>Federal 2.5% Discount Rate Values</w:t>
            </w:r>
          </w:p>
        </w:tc>
      </w:tr>
      <w:tr w:rsidR="00296E6A" w:rsidRPr="00627DA0" w14:paraId="2A880E57" w14:textId="77777777" w:rsidTr="002B151F">
        <w:trPr>
          <w:trHeight w:val="879"/>
        </w:trPr>
        <w:tc>
          <w:tcPr>
            <w:tcW w:w="1165" w:type="dxa"/>
            <w:vMerge/>
            <w:tcBorders>
              <w:bottom w:val="single" w:sz="4" w:space="0" w:color="auto"/>
            </w:tcBorders>
          </w:tcPr>
          <w:p w14:paraId="4783EA3F" w14:textId="77777777" w:rsidR="00296E6A" w:rsidRPr="00627DA0" w:rsidRDefault="00296E6A" w:rsidP="002B151F">
            <w:pPr>
              <w:rPr>
                <w:rFonts w:cs="Calibri Light"/>
                <w:b/>
                <w:bCs/>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2ABE5A4A" w14:textId="77777777" w:rsidR="00296E6A" w:rsidRPr="00627DA0" w:rsidRDefault="00296E6A" w:rsidP="002B151F">
            <w:pPr>
              <w:jc w:val="center"/>
              <w:rPr>
                <w:rFonts w:cs="Calibri Light"/>
                <w:b/>
                <w:bCs/>
                <w:sz w:val="20"/>
                <w:szCs w:val="20"/>
              </w:rPr>
            </w:pPr>
            <w:r w:rsidRPr="00627DA0">
              <w:rPr>
                <w:rFonts w:cs="Calibri Light"/>
                <w:b/>
                <w:bCs/>
                <w:sz w:val="20"/>
                <w:szCs w:val="20"/>
              </w:rPr>
              <w:t>RPS Compliance</w:t>
            </w:r>
          </w:p>
        </w:tc>
        <w:tc>
          <w:tcPr>
            <w:tcW w:w="1874" w:type="dxa"/>
            <w:tcBorders>
              <w:top w:val="single" w:sz="4" w:space="0" w:color="auto"/>
              <w:bottom w:val="single" w:sz="4" w:space="0" w:color="auto"/>
            </w:tcBorders>
            <w:shd w:val="clear" w:color="auto" w:fill="F2F2F2" w:themeFill="background1" w:themeFillShade="F2"/>
            <w:vAlign w:val="center"/>
          </w:tcPr>
          <w:p w14:paraId="639A95D5" w14:textId="77777777" w:rsidR="00296E6A" w:rsidRPr="00627DA0" w:rsidRDefault="00296E6A" w:rsidP="002B151F">
            <w:pPr>
              <w:jc w:val="center"/>
              <w:rPr>
                <w:rFonts w:cs="Calibri Light"/>
                <w:sz w:val="20"/>
                <w:szCs w:val="20"/>
              </w:rPr>
            </w:pPr>
            <w:r w:rsidRPr="00627DA0">
              <w:rPr>
                <w:rFonts w:cs="Calibri Light"/>
                <w:sz w:val="20"/>
                <w:szCs w:val="20"/>
              </w:rPr>
              <w:t>WA EIA &amp; CETA Requirements</w:t>
            </w:r>
          </w:p>
        </w:tc>
        <w:tc>
          <w:tcPr>
            <w:tcW w:w="1874" w:type="dxa"/>
            <w:tcBorders>
              <w:top w:val="single" w:sz="4" w:space="0" w:color="auto"/>
              <w:bottom w:val="single" w:sz="4" w:space="0" w:color="auto"/>
            </w:tcBorders>
            <w:shd w:val="clear" w:color="auto" w:fill="F2F2F2" w:themeFill="background1" w:themeFillShade="F2"/>
            <w:vAlign w:val="center"/>
          </w:tcPr>
          <w:p w14:paraId="3C72FB20" w14:textId="77777777" w:rsidR="00296E6A" w:rsidRPr="00627DA0" w:rsidRDefault="00296E6A" w:rsidP="002B151F">
            <w:pPr>
              <w:jc w:val="center"/>
              <w:rPr>
                <w:rFonts w:cs="Calibri Light"/>
                <w:sz w:val="20"/>
                <w:szCs w:val="20"/>
              </w:rPr>
            </w:pPr>
            <w:r w:rsidRPr="00627DA0">
              <w:rPr>
                <w:rFonts w:cs="Calibri Light"/>
                <w:sz w:val="20"/>
                <w:szCs w:val="20"/>
              </w:rPr>
              <w:t>WA EIA &amp; CETA Requirements</w:t>
            </w:r>
          </w:p>
        </w:tc>
        <w:tc>
          <w:tcPr>
            <w:tcW w:w="1875" w:type="dxa"/>
            <w:tcBorders>
              <w:top w:val="single" w:sz="4" w:space="0" w:color="auto"/>
              <w:bottom w:val="single" w:sz="4" w:space="0" w:color="auto"/>
            </w:tcBorders>
            <w:shd w:val="clear" w:color="auto" w:fill="F2F2F2" w:themeFill="background1" w:themeFillShade="F2"/>
            <w:vAlign w:val="center"/>
          </w:tcPr>
          <w:p w14:paraId="2218BFF0" w14:textId="77777777" w:rsidR="00296E6A" w:rsidRPr="00627DA0" w:rsidRDefault="00296E6A" w:rsidP="002B151F">
            <w:pPr>
              <w:jc w:val="center"/>
              <w:rPr>
                <w:rFonts w:cs="Calibri Light"/>
                <w:sz w:val="20"/>
                <w:szCs w:val="20"/>
              </w:rPr>
            </w:pPr>
            <w:r w:rsidRPr="00627DA0">
              <w:rPr>
                <w:rFonts w:cs="Calibri Light"/>
                <w:sz w:val="20"/>
                <w:szCs w:val="20"/>
              </w:rPr>
              <w:t>WA EIA &amp; CETA Requirements</w:t>
            </w:r>
          </w:p>
        </w:tc>
      </w:tr>
      <w:tr w:rsidR="00296E6A" w:rsidRPr="00627DA0" w14:paraId="05DDD6AA" w14:textId="77777777" w:rsidTr="002B151F">
        <w:trPr>
          <w:trHeight w:val="783"/>
        </w:trPr>
        <w:tc>
          <w:tcPr>
            <w:tcW w:w="1165" w:type="dxa"/>
            <w:vMerge w:val="restart"/>
            <w:tcBorders>
              <w:top w:val="single" w:sz="4" w:space="0" w:color="auto"/>
            </w:tcBorders>
            <w:vAlign w:val="center"/>
          </w:tcPr>
          <w:p w14:paraId="409AE344" w14:textId="77777777" w:rsidR="00296E6A" w:rsidRPr="00627DA0" w:rsidRDefault="00296E6A" w:rsidP="002B151F">
            <w:pPr>
              <w:jc w:val="center"/>
              <w:rPr>
                <w:rFonts w:cs="Calibri Light"/>
                <w:b/>
                <w:bCs/>
                <w:sz w:val="20"/>
                <w:szCs w:val="20"/>
              </w:rPr>
            </w:pPr>
            <w:r w:rsidRPr="00627DA0">
              <w:rPr>
                <w:rFonts w:cs="Calibri Light"/>
                <w:b/>
                <w:bCs/>
                <w:sz w:val="20"/>
                <w:szCs w:val="20"/>
              </w:rPr>
              <w:t>Capacity Values</w:t>
            </w:r>
          </w:p>
        </w:tc>
        <w:tc>
          <w:tcPr>
            <w:tcW w:w="2579" w:type="dxa"/>
            <w:tcBorders>
              <w:top w:val="single" w:sz="4" w:space="0" w:color="auto"/>
              <w:bottom w:val="single" w:sz="4" w:space="0" w:color="auto"/>
            </w:tcBorders>
            <w:vAlign w:val="center"/>
          </w:tcPr>
          <w:p w14:paraId="110D825F" w14:textId="77777777" w:rsidR="00296E6A" w:rsidRPr="00627DA0" w:rsidRDefault="00296E6A" w:rsidP="002B151F">
            <w:pPr>
              <w:jc w:val="center"/>
              <w:rPr>
                <w:rFonts w:cs="Calibri Light"/>
                <w:b/>
                <w:bCs/>
                <w:sz w:val="20"/>
                <w:szCs w:val="20"/>
              </w:rPr>
            </w:pPr>
            <w:r w:rsidRPr="00627DA0">
              <w:rPr>
                <w:rFonts w:cs="Calibri Light"/>
                <w:b/>
                <w:bCs/>
                <w:sz w:val="20"/>
                <w:szCs w:val="20"/>
              </w:rPr>
              <w:t>Distribution Capacity</w:t>
            </w:r>
          </w:p>
          <w:p w14:paraId="4E4F21BF" w14:textId="77777777" w:rsidR="00296E6A" w:rsidRPr="00627DA0" w:rsidRDefault="00296E6A"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vAlign w:val="center"/>
          </w:tcPr>
          <w:p w14:paraId="4CCE6ECF" w14:textId="77777777" w:rsidR="00296E6A" w:rsidRPr="00627DA0" w:rsidRDefault="00296E6A" w:rsidP="002B151F">
            <w:pPr>
              <w:jc w:val="center"/>
              <w:rPr>
                <w:rFonts w:cs="Calibri Light"/>
                <w:sz w:val="20"/>
                <w:szCs w:val="20"/>
              </w:rPr>
            </w:pPr>
            <w:r w:rsidRPr="00627DA0">
              <w:rPr>
                <w:rFonts w:cs="Calibri Light"/>
                <w:sz w:val="20"/>
                <w:szCs w:val="20"/>
              </w:rPr>
              <w:t>$7.82/kW-year</w:t>
            </w:r>
          </w:p>
        </w:tc>
        <w:tc>
          <w:tcPr>
            <w:tcW w:w="1874" w:type="dxa"/>
            <w:tcBorders>
              <w:top w:val="single" w:sz="4" w:space="0" w:color="auto"/>
              <w:bottom w:val="single" w:sz="4" w:space="0" w:color="auto"/>
            </w:tcBorders>
            <w:vAlign w:val="center"/>
          </w:tcPr>
          <w:p w14:paraId="267DCD8C" w14:textId="77777777" w:rsidR="00296E6A" w:rsidRPr="00627DA0" w:rsidRDefault="00296E6A" w:rsidP="002B151F">
            <w:pPr>
              <w:jc w:val="center"/>
              <w:rPr>
                <w:rFonts w:cs="Calibri Light"/>
                <w:sz w:val="20"/>
                <w:szCs w:val="20"/>
              </w:rPr>
            </w:pPr>
            <w:r w:rsidRPr="00627DA0">
              <w:rPr>
                <w:rFonts w:cs="Calibri Light"/>
                <w:sz w:val="20"/>
                <w:szCs w:val="20"/>
              </w:rPr>
              <w:t>$7.82/kW-year</w:t>
            </w:r>
          </w:p>
        </w:tc>
        <w:tc>
          <w:tcPr>
            <w:tcW w:w="1875" w:type="dxa"/>
            <w:tcBorders>
              <w:top w:val="single" w:sz="4" w:space="0" w:color="auto"/>
              <w:bottom w:val="single" w:sz="4" w:space="0" w:color="auto"/>
            </w:tcBorders>
            <w:vAlign w:val="center"/>
          </w:tcPr>
          <w:p w14:paraId="43433F3D" w14:textId="77777777" w:rsidR="00296E6A" w:rsidRPr="00627DA0" w:rsidRDefault="00296E6A" w:rsidP="002B151F">
            <w:pPr>
              <w:jc w:val="center"/>
              <w:rPr>
                <w:rFonts w:cs="Calibri Light"/>
                <w:sz w:val="20"/>
                <w:szCs w:val="20"/>
              </w:rPr>
            </w:pPr>
            <w:r w:rsidRPr="00627DA0">
              <w:rPr>
                <w:rFonts w:cs="Calibri Light"/>
                <w:sz w:val="20"/>
                <w:szCs w:val="20"/>
              </w:rPr>
              <w:t>$7.82/kW-year</w:t>
            </w:r>
          </w:p>
        </w:tc>
      </w:tr>
      <w:tr w:rsidR="00296E6A" w:rsidRPr="00627DA0" w14:paraId="4565D4E9" w14:textId="77777777" w:rsidTr="002B151F">
        <w:trPr>
          <w:trHeight w:val="879"/>
        </w:trPr>
        <w:tc>
          <w:tcPr>
            <w:tcW w:w="1165" w:type="dxa"/>
            <w:vMerge/>
          </w:tcPr>
          <w:p w14:paraId="2A80E085" w14:textId="77777777" w:rsidR="00296E6A" w:rsidRPr="00627DA0" w:rsidRDefault="00296E6A" w:rsidP="002B151F">
            <w:pPr>
              <w:rPr>
                <w:rFonts w:cs="Calibri Light"/>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2D3220F7" w14:textId="77777777" w:rsidR="00296E6A" w:rsidRPr="00627DA0" w:rsidRDefault="00296E6A" w:rsidP="002B151F">
            <w:pPr>
              <w:jc w:val="center"/>
              <w:rPr>
                <w:rFonts w:cs="Calibri Light"/>
                <w:b/>
                <w:bCs/>
                <w:sz w:val="20"/>
                <w:szCs w:val="20"/>
              </w:rPr>
            </w:pPr>
            <w:r w:rsidRPr="00627DA0">
              <w:rPr>
                <w:rFonts w:cs="Calibri Light"/>
                <w:b/>
                <w:bCs/>
                <w:sz w:val="20"/>
                <w:szCs w:val="20"/>
              </w:rPr>
              <w:t>Transmission Capacity</w:t>
            </w:r>
          </w:p>
          <w:p w14:paraId="7727649E" w14:textId="77777777" w:rsidR="00296E6A" w:rsidRPr="00627DA0" w:rsidRDefault="00296E6A"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shd w:val="clear" w:color="auto" w:fill="F2F2F2" w:themeFill="background1" w:themeFillShade="F2"/>
            <w:vAlign w:val="center"/>
          </w:tcPr>
          <w:p w14:paraId="3D4BE6C7" w14:textId="77777777" w:rsidR="00296E6A" w:rsidRPr="00627DA0" w:rsidRDefault="00296E6A" w:rsidP="002B151F">
            <w:pPr>
              <w:jc w:val="center"/>
              <w:rPr>
                <w:rFonts w:cs="Calibri Light"/>
                <w:sz w:val="20"/>
                <w:szCs w:val="20"/>
              </w:rPr>
            </w:pPr>
            <w:r w:rsidRPr="00627DA0">
              <w:rPr>
                <w:rFonts w:cs="Calibri Light"/>
                <w:sz w:val="20"/>
                <w:szCs w:val="20"/>
              </w:rPr>
              <w:t>$3.54/kW-year</w:t>
            </w:r>
          </w:p>
        </w:tc>
        <w:tc>
          <w:tcPr>
            <w:tcW w:w="1874" w:type="dxa"/>
            <w:tcBorders>
              <w:top w:val="single" w:sz="4" w:space="0" w:color="auto"/>
              <w:bottom w:val="single" w:sz="4" w:space="0" w:color="auto"/>
            </w:tcBorders>
            <w:shd w:val="clear" w:color="auto" w:fill="F2F2F2" w:themeFill="background1" w:themeFillShade="F2"/>
            <w:vAlign w:val="center"/>
          </w:tcPr>
          <w:p w14:paraId="23E130FE" w14:textId="77777777" w:rsidR="00296E6A" w:rsidRPr="00627DA0" w:rsidRDefault="00296E6A" w:rsidP="002B151F">
            <w:pPr>
              <w:jc w:val="center"/>
              <w:rPr>
                <w:rFonts w:cs="Calibri Light"/>
                <w:sz w:val="20"/>
                <w:szCs w:val="20"/>
              </w:rPr>
            </w:pPr>
            <w:r w:rsidRPr="00627DA0">
              <w:rPr>
                <w:rFonts w:cs="Calibri Light"/>
                <w:sz w:val="20"/>
                <w:szCs w:val="20"/>
              </w:rPr>
              <w:t>$3.54/kW-year</w:t>
            </w:r>
          </w:p>
        </w:tc>
        <w:tc>
          <w:tcPr>
            <w:tcW w:w="1875" w:type="dxa"/>
            <w:tcBorders>
              <w:top w:val="single" w:sz="4" w:space="0" w:color="auto"/>
              <w:bottom w:val="single" w:sz="4" w:space="0" w:color="auto"/>
            </w:tcBorders>
            <w:shd w:val="clear" w:color="auto" w:fill="F2F2F2" w:themeFill="background1" w:themeFillShade="F2"/>
            <w:vAlign w:val="center"/>
          </w:tcPr>
          <w:p w14:paraId="11214BCE" w14:textId="77777777" w:rsidR="00296E6A" w:rsidRPr="00627DA0" w:rsidRDefault="00296E6A" w:rsidP="002B151F">
            <w:pPr>
              <w:jc w:val="center"/>
              <w:rPr>
                <w:rFonts w:cs="Calibri Light"/>
                <w:sz w:val="20"/>
                <w:szCs w:val="20"/>
              </w:rPr>
            </w:pPr>
            <w:r w:rsidRPr="00627DA0">
              <w:rPr>
                <w:rFonts w:cs="Calibri Light"/>
                <w:sz w:val="20"/>
                <w:szCs w:val="20"/>
              </w:rPr>
              <w:t>$3.54/kW-year</w:t>
            </w:r>
          </w:p>
        </w:tc>
      </w:tr>
      <w:tr w:rsidR="00296E6A" w:rsidRPr="00627DA0" w14:paraId="08734CCD" w14:textId="77777777" w:rsidTr="002B151F">
        <w:trPr>
          <w:trHeight w:val="831"/>
        </w:trPr>
        <w:tc>
          <w:tcPr>
            <w:tcW w:w="1165" w:type="dxa"/>
            <w:vMerge/>
            <w:tcBorders>
              <w:bottom w:val="single" w:sz="4" w:space="0" w:color="auto"/>
            </w:tcBorders>
          </w:tcPr>
          <w:p w14:paraId="6EA5B586" w14:textId="77777777" w:rsidR="00296E6A" w:rsidRPr="00627DA0" w:rsidRDefault="00296E6A" w:rsidP="002B151F">
            <w:pPr>
              <w:rPr>
                <w:rFonts w:cs="Calibri Light"/>
                <w:sz w:val="20"/>
                <w:szCs w:val="20"/>
              </w:rPr>
            </w:pPr>
          </w:p>
        </w:tc>
        <w:tc>
          <w:tcPr>
            <w:tcW w:w="2579" w:type="dxa"/>
            <w:tcBorders>
              <w:top w:val="single" w:sz="4" w:space="0" w:color="auto"/>
              <w:bottom w:val="single" w:sz="4" w:space="0" w:color="auto"/>
            </w:tcBorders>
            <w:vAlign w:val="center"/>
          </w:tcPr>
          <w:p w14:paraId="6631CF70" w14:textId="77777777" w:rsidR="00296E6A" w:rsidRPr="00627DA0" w:rsidRDefault="00296E6A" w:rsidP="002B151F">
            <w:pPr>
              <w:jc w:val="center"/>
              <w:rPr>
                <w:rFonts w:cs="Calibri Light"/>
                <w:b/>
                <w:bCs/>
                <w:sz w:val="20"/>
                <w:szCs w:val="20"/>
              </w:rPr>
            </w:pPr>
            <w:r w:rsidRPr="00627DA0">
              <w:rPr>
                <w:rFonts w:cs="Calibri Light"/>
                <w:b/>
                <w:bCs/>
                <w:sz w:val="20"/>
                <w:szCs w:val="20"/>
              </w:rPr>
              <w:t>Generation Capacity</w:t>
            </w:r>
          </w:p>
          <w:p w14:paraId="1FEFDBF9" w14:textId="77777777" w:rsidR="00296E6A" w:rsidRPr="00627DA0" w:rsidRDefault="00296E6A"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vAlign w:val="center"/>
          </w:tcPr>
          <w:p w14:paraId="4FD6A298" w14:textId="77777777" w:rsidR="00296E6A" w:rsidRPr="00627DA0" w:rsidRDefault="00296E6A" w:rsidP="002B151F">
            <w:pPr>
              <w:jc w:val="center"/>
              <w:rPr>
                <w:rFonts w:cs="Calibri Light"/>
                <w:sz w:val="20"/>
                <w:szCs w:val="20"/>
              </w:rPr>
            </w:pPr>
            <w:r w:rsidRPr="00627DA0">
              <w:rPr>
                <w:rFonts w:cs="Calibri Light"/>
                <w:sz w:val="20"/>
                <w:szCs w:val="20"/>
              </w:rPr>
              <w:t>$65/kW-year</w:t>
            </w:r>
          </w:p>
        </w:tc>
        <w:tc>
          <w:tcPr>
            <w:tcW w:w="1874" w:type="dxa"/>
            <w:tcBorders>
              <w:top w:val="single" w:sz="4" w:space="0" w:color="auto"/>
              <w:bottom w:val="single" w:sz="4" w:space="0" w:color="auto"/>
            </w:tcBorders>
            <w:vAlign w:val="center"/>
          </w:tcPr>
          <w:p w14:paraId="78287177" w14:textId="77777777" w:rsidR="00296E6A" w:rsidRPr="00627DA0" w:rsidRDefault="00296E6A" w:rsidP="002B151F">
            <w:pPr>
              <w:jc w:val="center"/>
              <w:rPr>
                <w:rFonts w:cs="Calibri Light"/>
                <w:sz w:val="20"/>
                <w:szCs w:val="20"/>
              </w:rPr>
            </w:pPr>
            <w:r w:rsidRPr="00627DA0">
              <w:rPr>
                <w:rFonts w:cs="Calibri Light"/>
                <w:sz w:val="20"/>
                <w:szCs w:val="20"/>
              </w:rPr>
              <w:t>$75/kW-year</w:t>
            </w:r>
          </w:p>
        </w:tc>
        <w:tc>
          <w:tcPr>
            <w:tcW w:w="1875" w:type="dxa"/>
            <w:tcBorders>
              <w:top w:val="single" w:sz="4" w:space="0" w:color="auto"/>
              <w:bottom w:val="single" w:sz="4" w:space="0" w:color="auto"/>
            </w:tcBorders>
            <w:vAlign w:val="center"/>
          </w:tcPr>
          <w:p w14:paraId="4295D0AD" w14:textId="77777777" w:rsidR="00296E6A" w:rsidRPr="00627DA0" w:rsidRDefault="00296E6A" w:rsidP="002B151F">
            <w:pPr>
              <w:jc w:val="center"/>
              <w:rPr>
                <w:rFonts w:cs="Calibri Light"/>
                <w:sz w:val="20"/>
                <w:szCs w:val="20"/>
              </w:rPr>
            </w:pPr>
            <w:r w:rsidRPr="00627DA0">
              <w:rPr>
                <w:rFonts w:cs="Calibri Light"/>
                <w:sz w:val="20"/>
                <w:szCs w:val="20"/>
              </w:rPr>
              <w:t>$123/kW-year</w:t>
            </w:r>
          </w:p>
        </w:tc>
      </w:tr>
      <w:tr w:rsidR="00296E6A" w:rsidRPr="00627DA0" w14:paraId="3A22B9EF" w14:textId="77777777" w:rsidTr="002B151F">
        <w:trPr>
          <w:trHeight w:val="831"/>
        </w:trPr>
        <w:tc>
          <w:tcPr>
            <w:tcW w:w="1165" w:type="dxa"/>
            <w:tcBorders>
              <w:top w:val="single" w:sz="4" w:space="0" w:color="auto"/>
              <w:bottom w:val="single" w:sz="4" w:space="0" w:color="auto"/>
            </w:tcBorders>
            <w:shd w:val="clear" w:color="auto" w:fill="F2F2F2" w:themeFill="background1" w:themeFillShade="F2"/>
          </w:tcPr>
          <w:p w14:paraId="4A5600AE" w14:textId="77777777" w:rsidR="00296E6A" w:rsidRPr="00627DA0" w:rsidRDefault="00296E6A" w:rsidP="002B151F">
            <w:pPr>
              <w:rPr>
                <w:rFonts w:cs="Calibri Light"/>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6064F37E" w14:textId="77777777" w:rsidR="00296E6A" w:rsidRPr="00627DA0" w:rsidRDefault="00296E6A" w:rsidP="002B151F">
            <w:pPr>
              <w:jc w:val="center"/>
              <w:rPr>
                <w:rFonts w:cs="Calibri Light"/>
                <w:b/>
                <w:bCs/>
                <w:sz w:val="20"/>
                <w:szCs w:val="20"/>
              </w:rPr>
            </w:pPr>
            <w:r w:rsidRPr="00627DA0">
              <w:rPr>
                <w:rFonts w:cs="Calibri Light"/>
                <w:b/>
                <w:bCs/>
                <w:sz w:val="20"/>
                <w:szCs w:val="20"/>
              </w:rPr>
              <w:t>Implied Risk Adder</w:t>
            </w:r>
          </w:p>
          <w:p w14:paraId="1BDE1246" w14:textId="77777777" w:rsidR="00296E6A" w:rsidRPr="00627DA0" w:rsidRDefault="00296E6A"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shd w:val="clear" w:color="auto" w:fill="F2F2F2" w:themeFill="background1" w:themeFillShade="F2"/>
            <w:vAlign w:val="center"/>
          </w:tcPr>
          <w:p w14:paraId="316FD7AE" w14:textId="77777777" w:rsidR="00296E6A" w:rsidRPr="00627DA0" w:rsidRDefault="00296E6A" w:rsidP="002B151F">
            <w:pPr>
              <w:jc w:val="center"/>
              <w:rPr>
                <w:rFonts w:cs="Calibri Light"/>
                <w:sz w:val="20"/>
                <w:szCs w:val="20"/>
              </w:rPr>
            </w:pPr>
            <w:r w:rsidRPr="00627DA0">
              <w:rPr>
                <w:rFonts w:cs="Calibri Light"/>
                <w:sz w:val="20"/>
                <w:szCs w:val="20"/>
              </w:rPr>
              <w:t>-$16/MWh</w:t>
            </w:r>
          </w:p>
          <w:p w14:paraId="2AB1F64B" w14:textId="77777777" w:rsidR="00296E6A" w:rsidRPr="00627DA0" w:rsidRDefault="00296E6A" w:rsidP="002B151F">
            <w:pPr>
              <w:jc w:val="center"/>
              <w:rPr>
                <w:rFonts w:cs="Calibri Light"/>
                <w:sz w:val="20"/>
                <w:szCs w:val="20"/>
              </w:rPr>
            </w:pPr>
            <w:r w:rsidRPr="00627DA0">
              <w:rPr>
                <w:rFonts w:cs="Calibri Light"/>
                <w:sz w:val="20"/>
                <w:szCs w:val="20"/>
              </w:rPr>
              <w:t>-$10/kW-year</w:t>
            </w:r>
          </w:p>
        </w:tc>
        <w:tc>
          <w:tcPr>
            <w:tcW w:w="1874" w:type="dxa"/>
            <w:tcBorders>
              <w:top w:val="single" w:sz="4" w:space="0" w:color="auto"/>
              <w:bottom w:val="single" w:sz="4" w:space="0" w:color="auto"/>
            </w:tcBorders>
            <w:shd w:val="clear" w:color="auto" w:fill="F2F2F2" w:themeFill="background1" w:themeFillShade="F2"/>
            <w:vAlign w:val="center"/>
          </w:tcPr>
          <w:p w14:paraId="08426B0C" w14:textId="77777777" w:rsidR="00296E6A" w:rsidRPr="00627DA0" w:rsidRDefault="00296E6A" w:rsidP="002B151F">
            <w:pPr>
              <w:jc w:val="center"/>
              <w:rPr>
                <w:rFonts w:cs="Calibri Light"/>
                <w:sz w:val="20"/>
                <w:szCs w:val="20"/>
              </w:rPr>
            </w:pPr>
            <w:r w:rsidRPr="00627DA0">
              <w:rPr>
                <w:rFonts w:cs="Calibri Light"/>
                <w:sz w:val="20"/>
                <w:szCs w:val="20"/>
              </w:rPr>
              <w:t>N/A</w:t>
            </w:r>
          </w:p>
        </w:tc>
        <w:tc>
          <w:tcPr>
            <w:tcW w:w="1875" w:type="dxa"/>
            <w:tcBorders>
              <w:top w:val="single" w:sz="4" w:space="0" w:color="auto"/>
              <w:bottom w:val="single" w:sz="4" w:space="0" w:color="auto"/>
            </w:tcBorders>
            <w:shd w:val="clear" w:color="auto" w:fill="F2F2F2" w:themeFill="background1" w:themeFillShade="F2"/>
            <w:vAlign w:val="center"/>
          </w:tcPr>
          <w:p w14:paraId="77116FFE" w14:textId="77777777" w:rsidR="00296E6A" w:rsidRPr="00627DA0" w:rsidRDefault="00296E6A" w:rsidP="002B151F">
            <w:pPr>
              <w:jc w:val="center"/>
              <w:rPr>
                <w:rFonts w:cs="Calibri Light"/>
                <w:sz w:val="20"/>
                <w:szCs w:val="20"/>
              </w:rPr>
            </w:pPr>
            <w:r w:rsidRPr="00627DA0">
              <w:rPr>
                <w:rFonts w:cs="Calibri Light"/>
                <w:sz w:val="20"/>
                <w:szCs w:val="20"/>
              </w:rPr>
              <w:t>$15/MWh</w:t>
            </w:r>
          </w:p>
          <w:p w14:paraId="73024BCC" w14:textId="77777777" w:rsidR="00296E6A" w:rsidRPr="00627DA0" w:rsidRDefault="00296E6A" w:rsidP="002B151F">
            <w:pPr>
              <w:jc w:val="center"/>
              <w:rPr>
                <w:rFonts w:cs="Calibri Light"/>
                <w:sz w:val="20"/>
                <w:szCs w:val="20"/>
              </w:rPr>
            </w:pPr>
            <w:r w:rsidRPr="00627DA0">
              <w:rPr>
                <w:rFonts w:cs="Calibri Light"/>
                <w:sz w:val="20"/>
                <w:szCs w:val="20"/>
              </w:rPr>
              <w:t>$48/kW-year</w:t>
            </w:r>
          </w:p>
        </w:tc>
      </w:tr>
      <w:tr w:rsidR="00296E6A" w:rsidRPr="00627DA0" w14:paraId="68F68BC6" w14:textId="77777777" w:rsidTr="002B151F">
        <w:trPr>
          <w:trHeight w:val="831"/>
        </w:trPr>
        <w:tc>
          <w:tcPr>
            <w:tcW w:w="1165" w:type="dxa"/>
            <w:tcBorders>
              <w:top w:val="single" w:sz="4" w:space="0" w:color="auto"/>
              <w:bottom w:val="single" w:sz="12" w:space="0" w:color="auto"/>
            </w:tcBorders>
          </w:tcPr>
          <w:p w14:paraId="6143E428" w14:textId="77777777" w:rsidR="00296E6A" w:rsidRPr="00627DA0" w:rsidRDefault="00296E6A" w:rsidP="002B151F">
            <w:pPr>
              <w:rPr>
                <w:rFonts w:cs="Calibri Light"/>
                <w:sz w:val="20"/>
                <w:szCs w:val="20"/>
              </w:rPr>
            </w:pPr>
          </w:p>
        </w:tc>
        <w:tc>
          <w:tcPr>
            <w:tcW w:w="2579" w:type="dxa"/>
            <w:tcBorders>
              <w:top w:val="single" w:sz="4" w:space="0" w:color="auto"/>
              <w:bottom w:val="single" w:sz="12" w:space="0" w:color="auto"/>
            </w:tcBorders>
            <w:vAlign w:val="center"/>
          </w:tcPr>
          <w:p w14:paraId="0494C6AD" w14:textId="77777777" w:rsidR="00296E6A" w:rsidRPr="00627DA0" w:rsidRDefault="00296E6A" w:rsidP="002B151F">
            <w:pPr>
              <w:jc w:val="center"/>
              <w:rPr>
                <w:rFonts w:cs="Calibri Light"/>
                <w:b/>
                <w:bCs/>
                <w:sz w:val="20"/>
                <w:szCs w:val="20"/>
              </w:rPr>
            </w:pPr>
            <w:r w:rsidRPr="00627DA0">
              <w:rPr>
                <w:rFonts w:cs="Calibri Light"/>
                <w:b/>
                <w:bCs/>
                <w:sz w:val="20"/>
                <w:szCs w:val="20"/>
              </w:rPr>
              <w:t>NW Power Act Credit</w:t>
            </w:r>
          </w:p>
        </w:tc>
        <w:tc>
          <w:tcPr>
            <w:tcW w:w="1874" w:type="dxa"/>
            <w:tcBorders>
              <w:top w:val="single" w:sz="4" w:space="0" w:color="auto"/>
              <w:bottom w:val="single" w:sz="12" w:space="0" w:color="auto"/>
            </w:tcBorders>
            <w:vAlign w:val="center"/>
          </w:tcPr>
          <w:p w14:paraId="5A967CCA" w14:textId="77777777" w:rsidR="00296E6A" w:rsidRPr="00627DA0" w:rsidRDefault="00296E6A" w:rsidP="002B151F">
            <w:pPr>
              <w:jc w:val="center"/>
              <w:rPr>
                <w:rFonts w:cs="Calibri Light"/>
                <w:sz w:val="20"/>
                <w:szCs w:val="20"/>
              </w:rPr>
            </w:pPr>
            <w:r w:rsidRPr="00627DA0">
              <w:rPr>
                <w:rFonts w:cs="Calibri Light"/>
                <w:sz w:val="20"/>
                <w:szCs w:val="20"/>
              </w:rPr>
              <w:t>10%</w:t>
            </w:r>
          </w:p>
        </w:tc>
        <w:tc>
          <w:tcPr>
            <w:tcW w:w="1874" w:type="dxa"/>
            <w:tcBorders>
              <w:top w:val="single" w:sz="4" w:space="0" w:color="auto"/>
              <w:bottom w:val="single" w:sz="12" w:space="0" w:color="auto"/>
            </w:tcBorders>
            <w:vAlign w:val="center"/>
          </w:tcPr>
          <w:p w14:paraId="5A3E3616" w14:textId="77777777" w:rsidR="00296E6A" w:rsidRPr="00627DA0" w:rsidRDefault="00296E6A" w:rsidP="002B151F">
            <w:pPr>
              <w:jc w:val="center"/>
              <w:rPr>
                <w:rFonts w:cs="Calibri Light"/>
                <w:sz w:val="20"/>
                <w:szCs w:val="20"/>
              </w:rPr>
            </w:pPr>
            <w:r w:rsidRPr="00627DA0">
              <w:rPr>
                <w:rFonts w:cs="Calibri Light"/>
                <w:sz w:val="20"/>
                <w:szCs w:val="20"/>
              </w:rPr>
              <w:t>10%</w:t>
            </w:r>
          </w:p>
        </w:tc>
        <w:tc>
          <w:tcPr>
            <w:tcW w:w="1875" w:type="dxa"/>
            <w:tcBorders>
              <w:top w:val="single" w:sz="4" w:space="0" w:color="auto"/>
              <w:bottom w:val="single" w:sz="12" w:space="0" w:color="auto"/>
            </w:tcBorders>
            <w:vAlign w:val="center"/>
          </w:tcPr>
          <w:p w14:paraId="1FADC8A1" w14:textId="77777777" w:rsidR="00296E6A" w:rsidRPr="00627DA0" w:rsidRDefault="00296E6A" w:rsidP="002B151F">
            <w:pPr>
              <w:jc w:val="center"/>
              <w:rPr>
                <w:rFonts w:cs="Calibri Light"/>
                <w:sz w:val="20"/>
                <w:szCs w:val="20"/>
              </w:rPr>
            </w:pPr>
            <w:r w:rsidRPr="00627DA0">
              <w:rPr>
                <w:rFonts w:cs="Calibri Light"/>
                <w:sz w:val="20"/>
                <w:szCs w:val="20"/>
              </w:rPr>
              <w:t>10%</w:t>
            </w:r>
          </w:p>
        </w:tc>
      </w:tr>
    </w:tbl>
    <w:p w14:paraId="1DE66A77" w14:textId="77777777" w:rsidR="00854EEE" w:rsidRPr="00627DA0" w:rsidRDefault="00854EEE" w:rsidP="00854EEE"/>
    <w:p w14:paraId="3D82E38B" w14:textId="77777777" w:rsidR="004469B0" w:rsidRPr="00627DA0" w:rsidRDefault="00D54797" w:rsidP="00D54797">
      <w:r w:rsidRPr="00627DA0">
        <w:t>Instead of using a single risk adder applied to each unit of energy, these two s</w:t>
      </w:r>
      <w:r w:rsidR="00200CEB" w:rsidRPr="00627DA0">
        <w:t>ensitivitie</w:t>
      </w:r>
      <w:r w:rsidRPr="00627DA0">
        <w:t>s consider potential futures with higher and lower values for the avoided cost inputs with larger degrees of uncertainty: the value of avoided energy and generation capacity.</w:t>
      </w:r>
      <w:r w:rsidR="004469B0" w:rsidRPr="00627DA0">
        <w:t xml:space="preserve"> </w:t>
      </w:r>
    </w:p>
    <w:p w14:paraId="38FD5AA5" w14:textId="4673E70D" w:rsidR="00D54797" w:rsidRPr="00627DA0" w:rsidRDefault="00BD312F" w:rsidP="00D54797">
      <w:r w:rsidRPr="00627DA0">
        <w:lastRenderedPageBreak/>
        <w:fldChar w:fldCharType="begin"/>
      </w:r>
      <w:r w:rsidRPr="00627DA0">
        <w:instrText xml:space="preserve"> REF _Ref207020615 \h </w:instrText>
      </w:r>
      <w:r w:rsidRPr="00627DA0">
        <w:fldChar w:fldCharType="separate"/>
      </w:r>
      <w:r w:rsidR="00431297" w:rsidRPr="00627DA0">
        <w:t>Table 11</w:t>
      </w:r>
      <w:r w:rsidRPr="00627DA0">
        <w:fldChar w:fldCharType="end"/>
      </w:r>
      <w:r w:rsidRPr="00627DA0">
        <w:t xml:space="preserve"> </w:t>
      </w:r>
      <w:r w:rsidR="00D54797" w:rsidRPr="00627DA0">
        <w:t xml:space="preserve">summarizes the variation in cost-effective potential across each avoided cost </w:t>
      </w:r>
      <w:r w:rsidR="005373E2" w:rsidRPr="00627DA0">
        <w:t>sensitivity</w:t>
      </w:r>
      <w:r w:rsidR="00D54797" w:rsidRPr="00627DA0">
        <w:t>.</w:t>
      </w:r>
      <w:bookmarkStart w:id="122" w:name="_Ref69469487"/>
      <w:bookmarkStart w:id="123" w:name="_Toc49160972"/>
      <w:r w:rsidR="00C9392F" w:rsidRPr="00627DA0">
        <w:t xml:space="preserve"> The low sensitivity results in almost 13,000 less MWh</w:t>
      </w:r>
      <w:r w:rsidR="00943D47" w:rsidRPr="00627DA0">
        <w:t xml:space="preserve"> of cost-effective savings, while the high sensitivity results in an additional </w:t>
      </w:r>
      <w:r w:rsidR="00D3535B" w:rsidRPr="00627DA0">
        <w:t xml:space="preserve">9,632 MWh of cost-effective savings. </w:t>
      </w:r>
    </w:p>
    <w:p w14:paraId="6A8B2F3A" w14:textId="1CEB2CDF" w:rsidR="00D54797" w:rsidRPr="00627DA0" w:rsidRDefault="00D54797" w:rsidP="00D54797">
      <w:pPr>
        <w:pStyle w:val="Caption"/>
      </w:pPr>
      <w:bookmarkStart w:id="124" w:name="_Ref207020615"/>
      <w:bookmarkStart w:id="125" w:name="_Toc140047161"/>
      <w:bookmarkStart w:id="126" w:name="_Toc207870740"/>
      <w:r w:rsidRPr="00627DA0">
        <w:t xml:space="preserve">Table </w:t>
      </w:r>
      <w:r w:rsidRPr="00627DA0">
        <w:fldChar w:fldCharType="begin"/>
      </w:r>
      <w:r w:rsidRPr="00627DA0">
        <w:instrText>SEQ Table \* ARABIC</w:instrText>
      </w:r>
      <w:r w:rsidRPr="00627DA0">
        <w:fldChar w:fldCharType="separate"/>
      </w:r>
      <w:r w:rsidR="00431297" w:rsidRPr="00627DA0">
        <w:t>11</w:t>
      </w:r>
      <w:r w:rsidRPr="00627DA0">
        <w:fldChar w:fldCharType="end"/>
      </w:r>
      <w:bookmarkEnd w:id="122"/>
      <w:bookmarkEnd w:id="124"/>
      <w:r w:rsidRPr="00627DA0">
        <w:t>: Cost Effective Potential (MW</w:t>
      </w:r>
      <w:r w:rsidR="00AE2063" w:rsidRPr="00627DA0">
        <w:t>h</w:t>
      </w:r>
      <w:r w:rsidRPr="00627DA0">
        <w:t>) by Avoided Cost S</w:t>
      </w:r>
      <w:bookmarkEnd w:id="123"/>
      <w:bookmarkEnd w:id="125"/>
      <w:r w:rsidR="00D42A41" w:rsidRPr="00627DA0">
        <w:t>ensitivity</w:t>
      </w:r>
      <w:bookmarkEnd w:id="126"/>
    </w:p>
    <w:tbl>
      <w:tblPr>
        <w:tblW w:w="7487" w:type="dxa"/>
        <w:jc w:val="center"/>
        <w:tblLook w:val="04A0" w:firstRow="1" w:lastRow="0" w:firstColumn="1" w:lastColumn="0" w:noHBand="0" w:noVBand="1"/>
      </w:tblPr>
      <w:tblGrid>
        <w:gridCol w:w="2293"/>
        <w:gridCol w:w="1202"/>
        <w:gridCol w:w="1202"/>
        <w:gridCol w:w="1362"/>
        <w:gridCol w:w="1428"/>
      </w:tblGrid>
      <w:tr w:rsidR="00D54797" w:rsidRPr="00627DA0" w14:paraId="25A16A4A" w14:textId="77777777" w:rsidTr="004742F6">
        <w:trPr>
          <w:trHeight w:val="378"/>
          <w:jc w:val="center"/>
        </w:trPr>
        <w:tc>
          <w:tcPr>
            <w:tcW w:w="0" w:type="auto"/>
            <w:tcBorders>
              <w:top w:val="single" w:sz="12" w:space="0" w:color="auto"/>
              <w:left w:val="nil"/>
              <w:bottom w:val="nil"/>
              <w:right w:val="nil"/>
            </w:tcBorders>
            <w:shd w:val="clear" w:color="000000" w:fill="00205C"/>
            <w:noWrap/>
            <w:vAlign w:val="center"/>
            <w:hideMark/>
          </w:tcPr>
          <w:p w14:paraId="789FA241" w14:textId="4D97E5F7" w:rsidR="00D54797" w:rsidRPr="00627DA0" w:rsidRDefault="00D21EE8" w:rsidP="00E158CE">
            <w:pPr>
              <w:spacing w:after="0" w:line="240" w:lineRule="auto"/>
              <w:jc w:val="left"/>
              <w:rPr>
                <w:rFonts w:asciiTheme="minorHAnsi" w:eastAsia="Times New Roman" w:hAnsiTheme="minorHAnsi" w:cs="Calibri Light"/>
                <w:b/>
                <w:bCs/>
                <w:color w:val="FFFFFF"/>
                <w:sz w:val="20"/>
                <w:szCs w:val="20"/>
              </w:rPr>
            </w:pPr>
            <w:r w:rsidRPr="00627DA0">
              <w:rPr>
                <w:rFonts w:asciiTheme="minorHAnsi" w:eastAsia="Times New Roman" w:hAnsiTheme="minorHAnsi" w:cs="Calibri Light"/>
                <w:b/>
                <w:bCs/>
                <w:color w:val="FFFFFF"/>
                <w:sz w:val="20"/>
                <w:szCs w:val="20"/>
              </w:rPr>
              <w:t>Sensitivity</w:t>
            </w:r>
          </w:p>
        </w:tc>
        <w:tc>
          <w:tcPr>
            <w:tcW w:w="0" w:type="auto"/>
            <w:tcBorders>
              <w:top w:val="single" w:sz="12" w:space="0" w:color="auto"/>
              <w:left w:val="nil"/>
              <w:bottom w:val="nil"/>
              <w:right w:val="nil"/>
            </w:tcBorders>
            <w:shd w:val="clear" w:color="000000" w:fill="00205C"/>
            <w:noWrap/>
            <w:vAlign w:val="center"/>
            <w:hideMark/>
          </w:tcPr>
          <w:p w14:paraId="1F207DD1" w14:textId="77777777" w:rsidR="00D54797" w:rsidRPr="00627DA0" w:rsidRDefault="00D54797" w:rsidP="00E158CE">
            <w:pPr>
              <w:spacing w:after="0" w:line="240" w:lineRule="auto"/>
              <w:jc w:val="right"/>
              <w:rPr>
                <w:rFonts w:asciiTheme="minorHAnsi" w:eastAsia="Times New Roman" w:hAnsiTheme="minorHAnsi" w:cs="Calibri Light"/>
                <w:b/>
                <w:bCs/>
                <w:color w:val="FFFFFF"/>
                <w:sz w:val="20"/>
                <w:szCs w:val="20"/>
              </w:rPr>
            </w:pPr>
            <w:r w:rsidRPr="00627DA0">
              <w:rPr>
                <w:rFonts w:asciiTheme="minorHAnsi" w:eastAsia="Times New Roman" w:hAnsiTheme="minorHAnsi" w:cs="Calibri Light"/>
                <w:b/>
                <w:bCs/>
                <w:color w:val="FFFFFF"/>
                <w:sz w:val="20"/>
                <w:szCs w:val="20"/>
              </w:rPr>
              <w:t>2-Year</w:t>
            </w:r>
          </w:p>
        </w:tc>
        <w:tc>
          <w:tcPr>
            <w:tcW w:w="0" w:type="auto"/>
            <w:tcBorders>
              <w:top w:val="single" w:sz="12" w:space="0" w:color="auto"/>
              <w:left w:val="nil"/>
              <w:bottom w:val="nil"/>
              <w:right w:val="nil"/>
            </w:tcBorders>
            <w:shd w:val="clear" w:color="000000" w:fill="00205C"/>
            <w:noWrap/>
            <w:vAlign w:val="center"/>
            <w:hideMark/>
          </w:tcPr>
          <w:p w14:paraId="3C878B79" w14:textId="77777777" w:rsidR="00D54797" w:rsidRPr="00627DA0" w:rsidRDefault="00D54797" w:rsidP="00E158CE">
            <w:pPr>
              <w:spacing w:after="0" w:line="240" w:lineRule="auto"/>
              <w:jc w:val="right"/>
              <w:rPr>
                <w:rFonts w:asciiTheme="minorHAnsi" w:eastAsia="Times New Roman" w:hAnsiTheme="minorHAnsi" w:cs="Calibri Light"/>
                <w:b/>
                <w:bCs/>
                <w:color w:val="FFFFFF"/>
                <w:sz w:val="20"/>
                <w:szCs w:val="20"/>
              </w:rPr>
            </w:pPr>
            <w:r w:rsidRPr="00627DA0">
              <w:rPr>
                <w:rFonts w:asciiTheme="minorHAnsi" w:hAnsiTheme="minorHAnsi" w:cs="Calibri Light"/>
                <w:b/>
                <w:bCs/>
                <w:color w:val="FFFFFF"/>
                <w:sz w:val="20"/>
                <w:szCs w:val="20"/>
              </w:rPr>
              <w:t>4-Year</w:t>
            </w:r>
          </w:p>
        </w:tc>
        <w:tc>
          <w:tcPr>
            <w:tcW w:w="0" w:type="auto"/>
            <w:tcBorders>
              <w:top w:val="single" w:sz="12" w:space="0" w:color="auto"/>
              <w:left w:val="nil"/>
              <w:bottom w:val="nil"/>
              <w:right w:val="nil"/>
            </w:tcBorders>
            <w:shd w:val="clear" w:color="000000" w:fill="00205C"/>
            <w:noWrap/>
            <w:vAlign w:val="center"/>
            <w:hideMark/>
          </w:tcPr>
          <w:p w14:paraId="36FE84EA" w14:textId="77777777" w:rsidR="00D54797" w:rsidRPr="00627DA0" w:rsidRDefault="00D54797" w:rsidP="00E158CE">
            <w:pPr>
              <w:spacing w:after="0" w:line="240" w:lineRule="auto"/>
              <w:jc w:val="right"/>
              <w:rPr>
                <w:rFonts w:asciiTheme="minorHAnsi" w:eastAsia="Times New Roman" w:hAnsiTheme="minorHAnsi" w:cs="Calibri Light"/>
                <w:b/>
                <w:bCs/>
                <w:color w:val="FFFFFF"/>
                <w:sz w:val="20"/>
                <w:szCs w:val="20"/>
              </w:rPr>
            </w:pPr>
            <w:r w:rsidRPr="00627DA0">
              <w:rPr>
                <w:rFonts w:asciiTheme="minorHAnsi" w:eastAsia="Times New Roman" w:hAnsiTheme="minorHAnsi" w:cs="Calibri Light"/>
                <w:b/>
                <w:bCs/>
                <w:color w:val="FFFFFF"/>
                <w:sz w:val="20"/>
                <w:szCs w:val="20"/>
              </w:rPr>
              <w:t>10-Year</w:t>
            </w:r>
          </w:p>
        </w:tc>
        <w:tc>
          <w:tcPr>
            <w:tcW w:w="0" w:type="auto"/>
            <w:tcBorders>
              <w:top w:val="single" w:sz="12" w:space="0" w:color="auto"/>
              <w:left w:val="nil"/>
              <w:bottom w:val="nil"/>
              <w:right w:val="nil"/>
            </w:tcBorders>
            <w:shd w:val="clear" w:color="000000" w:fill="00205C"/>
            <w:noWrap/>
            <w:vAlign w:val="center"/>
            <w:hideMark/>
          </w:tcPr>
          <w:p w14:paraId="5D3DC452" w14:textId="77777777" w:rsidR="00D54797" w:rsidRPr="00627DA0" w:rsidRDefault="00D54797" w:rsidP="00E158CE">
            <w:pPr>
              <w:spacing w:after="0" w:line="240" w:lineRule="auto"/>
              <w:jc w:val="right"/>
              <w:rPr>
                <w:rFonts w:asciiTheme="minorHAnsi" w:eastAsia="Times New Roman" w:hAnsiTheme="minorHAnsi" w:cs="Calibri Light"/>
                <w:b/>
                <w:bCs/>
                <w:color w:val="FFFFFF"/>
                <w:sz w:val="20"/>
                <w:szCs w:val="20"/>
              </w:rPr>
            </w:pPr>
            <w:r w:rsidRPr="00627DA0">
              <w:rPr>
                <w:rFonts w:asciiTheme="minorHAnsi" w:eastAsia="Times New Roman" w:hAnsiTheme="minorHAnsi" w:cs="Calibri Light"/>
                <w:b/>
                <w:bCs/>
                <w:color w:val="FFFFFF"/>
                <w:sz w:val="20"/>
                <w:szCs w:val="20"/>
              </w:rPr>
              <w:t>20-Year</w:t>
            </w:r>
          </w:p>
        </w:tc>
      </w:tr>
      <w:tr w:rsidR="00EF12CB" w:rsidRPr="00627DA0" w14:paraId="799B4D6D" w14:textId="77777777" w:rsidTr="00EF12CB">
        <w:trPr>
          <w:trHeight w:val="361"/>
          <w:jc w:val="center"/>
        </w:trPr>
        <w:tc>
          <w:tcPr>
            <w:tcW w:w="0" w:type="auto"/>
            <w:tcBorders>
              <w:top w:val="nil"/>
              <w:left w:val="nil"/>
              <w:bottom w:val="nil"/>
              <w:right w:val="nil"/>
            </w:tcBorders>
            <w:shd w:val="clear" w:color="000000" w:fill="FFFFFF"/>
            <w:noWrap/>
            <w:vAlign w:val="center"/>
            <w:hideMark/>
          </w:tcPr>
          <w:p w14:paraId="3C774CF5" w14:textId="20F92202" w:rsidR="00EF12CB" w:rsidRPr="00627DA0" w:rsidRDefault="00EF12CB" w:rsidP="00EF12CB">
            <w:pPr>
              <w:spacing w:after="0" w:line="240" w:lineRule="auto"/>
              <w:jc w:val="left"/>
              <w:rPr>
                <w:rFonts w:asciiTheme="minorHAnsi" w:eastAsia="Times New Roman" w:hAnsiTheme="minorHAnsi" w:cs="Calibri Light"/>
                <w:color w:val="000000"/>
                <w:sz w:val="20"/>
                <w:szCs w:val="20"/>
              </w:rPr>
            </w:pPr>
            <w:r w:rsidRPr="00627DA0">
              <w:rPr>
                <w:rFonts w:asciiTheme="minorHAnsi" w:eastAsia="Times New Roman" w:hAnsiTheme="minorHAnsi" w:cs="Calibri Light"/>
                <w:color w:val="000000"/>
                <w:sz w:val="20"/>
                <w:szCs w:val="20"/>
              </w:rPr>
              <w:t>Low Sensitivity</w:t>
            </w:r>
          </w:p>
        </w:tc>
        <w:tc>
          <w:tcPr>
            <w:tcW w:w="0" w:type="auto"/>
            <w:tcBorders>
              <w:top w:val="nil"/>
              <w:left w:val="nil"/>
              <w:bottom w:val="nil"/>
              <w:right w:val="nil"/>
            </w:tcBorders>
            <w:shd w:val="clear" w:color="000000" w:fill="FFFFFF"/>
            <w:noWrap/>
            <w:vAlign w:val="center"/>
            <w:hideMark/>
          </w:tcPr>
          <w:p w14:paraId="47D0360F" w14:textId="6E15FCF8"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2,435 </w:t>
            </w:r>
          </w:p>
        </w:tc>
        <w:tc>
          <w:tcPr>
            <w:tcW w:w="0" w:type="auto"/>
            <w:tcBorders>
              <w:top w:val="nil"/>
              <w:left w:val="nil"/>
              <w:bottom w:val="nil"/>
              <w:right w:val="nil"/>
            </w:tcBorders>
            <w:shd w:val="clear" w:color="000000" w:fill="FFFFFF"/>
            <w:noWrap/>
            <w:vAlign w:val="center"/>
            <w:hideMark/>
          </w:tcPr>
          <w:p w14:paraId="19B6BC3C" w14:textId="1A3D2185"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7,833 </w:t>
            </w:r>
          </w:p>
        </w:tc>
        <w:tc>
          <w:tcPr>
            <w:tcW w:w="0" w:type="auto"/>
            <w:tcBorders>
              <w:top w:val="nil"/>
              <w:left w:val="nil"/>
              <w:bottom w:val="nil"/>
              <w:right w:val="nil"/>
            </w:tcBorders>
            <w:shd w:val="clear" w:color="000000" w:fill="FFFFFF"/>
            <w:noWrap/>
            <w:vAlign w:val="center"/>
            <w:hideMark/>
          </w:tcPr>
          <w:p w14:paraId="12601B06" w14:textId="293638B0"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54,211 </w:t>
            </w:r>
          </w:p>
        </w:tc>
        <w:tc>
          <w:tcPr>
            <w:tcW w:w="0" w:type="auto"/>
            <w:tcBorders>
              <w:top w:val="nil"/>
              <w:left w:val="nil"/>
              <w:bottom w:val="nil"/>
              <w:right w:val="nil"/>
            </w:tcBorders>
            <w:shd w:val="clear" w:color="000000" w:fill="FFFFFF"/>
            <w:noWrap/>
            <w:vAlign w:val="center"/>
            <w:hideMark/>
          </w:tcPr>
          <w:p w14:paraId="0BF964C3" w14:textId="7074EE64"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177,156 </w:t>
            </w:r>
          </w:p>
        </w:tc>
      </w:tr>
      <w:tr w:rsidR="00EF12CB" w:rsidRPr="00627DA0" w14:paraId="5023528E" w14:textId="77777777" w:rsidTr="00EF12CB">
        <w:trPr>
          <w:trHeight w:val="343"/>
          <w:jc w:val="center"/>
        </w:trPr>
        <w:tc>
          <w:tcPr>
            <w:tcW w:w="0" w:type="auto"/>
            <w:tcBorders>
              <w:top w:val="nil"/>
              <w:left w:val="nil"/>
              <w:bottom w:val="nil"/>
              <w:right w:val="nil"/>
            </w:tcBorders>
            <w:shd w:val="clear" w:color="000000" w:fill="F2F2F2"/>
            <w:noWrap/>
            <w:vAlign w:val="center"/>
            <w:hideMark/>
          </w:tcPr>
          <w:p w14:paraId="55F63E77" w14:textId="77777777" w:rsidR="00EF12CB" w:rsidRPr="00627DA0" w:rsidRDefault="00EF12CB" w:rsidP="00EF12CB">
            <w:pPr>
              <w:spacing w:after="0" w:line="240" w:lineRule="auto"/>
              <w:jc w:val="left"/>
              <w:rPr>
                <w:rFonts w:asciiTheme="minorHAnsi" w:eastAsia="Times New Roman" w:hAnsiTheme="minorHAnsi" w:cs="Calibri Light"/>
                <w:color w:val="000000"/>
                <w:sz w:val="20"/>
                <w:szCs w:val="20"/>
              </w:rPr>
            </w:pPr>
            <w:r w:rsidRPr="00627DA0">
              <w:rPr>
                <w:rFonts w:asciiTheme="minorHAnsi" w:eastAsia="Times New Roman" w:hAnsiTheme="minorHAnsi" w:cs="Calibri Light"/>
                <w:color w:val="000000"/>
                <w:sz w:val="20"/>
                <w:szCs w:val="20"/>
              </w:rPr>
              <w:t>Base Case</w:t>
            </w:r>
          </w:p>
        </w:tc>
        <w:tc>
          <w:tcPr>
            <w:tcW w:w="0" w:type="auto"/>
            <w:tcBorders>
              <w:top w:val="nil"/>
              <w:left w:val="nil"/>
              <w:bottom w:val="nil"/>
              <w:right w:val="nil"/>
            </w:tcBorders>
            <w:shd w:val="clear" w:color="000000" w:fill="F2F2F2"/>
            <w:noWrap/>
            <w:vAlign w:val="center"/>
            <w:hideMark/>
          </w:tcPr>
          <w:p w14:paraId="62C73C69" w14:textId="4D4CBC52"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2,741 </w:t>
            </w:r>
          </w:p>
        </w:tc>
        <w:tc>
          <w:tcPr>
            <w:tcW w:w="0" w:type="auto"/>
            <w:tcBorders>
              <w:top w:val="nil"/>
              <w:left w:val="nil"/>
              <w:bottom w:val="nil"/>
              <w:right w:val="nil"/>
            </w:tcBorders>
            <w:shd w:val="clear" w:color="000000" w:fill="F2F2F2"/>
            <w:noWrap/>
            <w:vAlign w:val="center"/>
            <w:hideMark/>
          </w:tcPr>
          <w:p w14:paraId="1065788A" w14:textId="4DF6BD75"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8,799 </w:t>
            </w:r>
          </w:p>
        </w:tc>
        <w:tc>
          <w:tcPr>
            <w:tcW w:w="0" w:type="auto"/>
            <w:tcBorders>
              <w:top w:val="nil"/>
              <w:left w:val="nil"/>
              <w:bottom w:val="nil"/>
              <w:right w:val="nil"/>
            </w:tcBorders>
            <w:shd w:val="clear" w:color="000000" w:fill="F2F2F2"/>
            <w:noWrap/>
            <w:vAlign w:val="center"/>
            <w:hideMark/>
          </w:tcPr>
          <w:p w14:paraId="1FCE0B4B" w14:textId="5B015FFE"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59,313 </w:t>
            </w:r>
          </w:p>
        </w:tc>
        <w:tc>
          <w:tcPr>
            <w:tcW w:w="0" w:type="auto"/>
            <w:tcBorders>
              <w:top w:val="nil"/>
              <w:left w:val="nil"/>
              <w:bottom w:val="nil"/>
              <w:right w:val="nil"/>
            </w:tcBorders>
            <w:shd w:val="clear" w:color="000000" w:fill="F2F2F2"/>
            <w:noWrap/>
            <w:vAlign w:val="center"/>
            <w:hideMark/>
          </w:tcPr>
          <w:p w14:paraId="3E9408D3" w14:textId="661AC555"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189,961 </w:t>
            </w:r>
          </w:p>
        </w:tc>
      </w:tr>
      <w:tr w:rsidR="00EF12CB" w:rsidRPr="00627DA0" w14:paraId="5D5C8806" w14:textId="77777777" w:rsidTr="00EF12CB">
        <w:trPr>
          <w:trHeight w:val="361"/>
          <w:jc w:val="center"/>
        </w:trPr>
        <w:tc>
          <w:tcPr>
            <w:tcW w:w="0" w:type="auto"/>
            <w:tcBorders>
              <w:top w:val="nil"/>
              <w:left w:val="nil"/>
              <w:bottom w:val="single" w:sz="12" w:space="0" w:color="auto"/>
              <w:right w:val="nil"/>
            </w:tcBorders>
            <w:shd w:val="clear" w:color="000000" w:fill="FFFFFF"/>
            <w:noWrap/>
            <w:vAlign w:val="center"/>
            <w:hideMark/>
          </w:tcPr>
          <w:p w14:paraId="7622EB7F" w14:textId="65130E19" w:rsidR="00EF12CB" w:rsidRPr="00627DA0" w:rsidRDefault="00EF12CB" w:rsidP="00EF12CB">
            <w:pPr>
              <w:spacing w:after="0" w:line="240" w:lineRule="auto"/>
              <w:jc w:val="left"/>
              <w:rPr>
                <w:rFonts w:asciiTheme="minorHAnsi" w:eastAsia="Times New Roman" w:hAnsiTheme="minorHAnsi" w:cs="Calibri Light"/>
                <w:color w:val="000000"/>
                <w:sz w:val="20"/>
                <w:szCs w:val="20"/>
              </w:rPr>
            </w:pPr>
            <w:r w:rsidRPr="00627DA0">
              <w:rPr>
                <w:rFonts w:asciiTheme="minorHAnsi" w:eastAsia="Times New Roman" w:hAnsiTheme="minorHAnsi" w:cs="Calibri Light"/>
                <w:color w:val="000000"/>
                <w:sz w:val="20"/>
                <w:szCs w:val="20"/>
              </w:rPr>
              <w:t>High Sensitivity</w:t>
            </w:r>
          </w:p>
        </w:tc>
        <w:tc>
          <w:tcPr>
            <w:tcW w:w="0" w:type="auto"/>
            <w:tcBorders>
              <w:top w:val="nil"/>
              <w:left w:val="nil"/>
              <w:bottom w:val="single" w:sz="12" w:space="0" w:color="auto"/>
              <w:right w:val="nil"/>
            </w:tcBorders>
            <w:shd w:val="clear" w:color="000000" w:fill="FFFFFF"/>
            <w:noWrap/>
            <w:vAlign w:val="center"/>
            <w:hideMark/>
          </w:tcPr>
          <w:p w14:paraId="34B16624" w14:textId="2A2D6402"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3,211 </w:t>
            </w:r>
          </w:p>
        </w:tc>
        <w:tc>
          <w:tcPr>
            <w:tcW w:w="0" w:type="auto"/>
            <w:tcBorders>
              <w:top w:val="nil"/>
              <w:left w:val="nil"/>
              <w:bottom w:val="single" w:sz="12" w:space="0" w:color="auto"/>
              <w:right w:val="nil"/>
            </w:tcBorders>
            <w:shd w:val="clear" w:color="000000" w:fill="FFFFFF"/>
            <w:noWrap/>
            <w:vAlign w:val="center"/>
            <w:hideMark/>
          </w:tcPr>
          <w:p w14:paraId="14A8486D" w14:textId="1BBAA43E"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9,964 </w:t>
            </w:r>
          </w:p>
        </w:tc>
        <w:tc>
          <w:tcPr>
            <w:tcW w:w="0" w:type="auto"/>
            <w:tcBorders>
              <w:top w:val="nil"/>
              <w:left w:val="nil"/>
              <w:bottom w:val="single" w:sz="12" w:space="0" w:color="auto"/>
              <w:right w:val="nil"/>
            </w:tcBorders>
            <w:shd w:val="clear" w:color="000000" w:fill="FFFFFF"/>
            <w:noWrap/>
            <w:vAlign w:val="center"/>
            <w:hideMark/>
          </w:tcPr>
          <w:p w14:paraId="16EF2CCE" w14:textId="25061D06"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63,354 </w:t>
            </w:r>
          </w:p>
        </w:tc>
        <w:tc>
          <w:tcPr>
            <w:tcW w:w="0" w:type="auto"/>
            <w:tcBorders>
              <w:top w:val="nil"/>
              <w:left w:val="nil"/>
              <w:bottom w:val="single" w:sz="12" w:space="0" w:color="auto"/>
              <w:right w:val="nil"/>
            </w:tcBorders>
            <w:shd w:val="clear" w:color="000000" w:fill="FFFFFF"/>
            <w:noWrap/>
            <w:vAlign w:val="center"/>
            <w:hideMark/>
          </w:tcPr>
          <w:p w14:paraId="70969EF1" w14:textId="2F0D55A8" w:rsidR="00EF12CB" w:rsidRPr="00627DA0" w:rsidRDefault="00EF12CB" w:rsidP="00EF12CB">
            <w:pPr>
              <w:spacing w:after="0" w:line="240" w:lineRule="auto"/>
              <w:jc w:val="right"/>
              <w:rPr>
                <w:rFonts w:asciiTheme="minorHAnsi" w:eastAsia="Times New Roman" w:hAnsiTheme="minorHAnsi" w:cs="Calibri Light"/>
                <w:color w:val="000000"/>
                <w:sz w:val="20"/>
                <w:szCs w:val="20"/>
              </w:rPr>
            </w:pPr>
            <w:r w:rsidRPr="00627DA0">
              <w:rPr>
                <w:sz w:val="20"/>
                <w:szCs w:val="20"/>
              </w:rPr>
              <w:t xml:space="preserve"> 199,593 </w:t>
            </w:r>
          </w:p>
        </w:tc>
      </w:tr>
    </w:tbl>
    <w:p w14:paraId="106A102E" w14:textId="5B1C2FC7" w:rsidR="00D54797" w:rsidRPr="00627DA0" w:rsidRDefault="00D54797" w:rsidP="00D54797"/>
    <w:p w14:paraId="700D8322" w14:textId="63C3DBA4" w:rsidR="00F86E95" w:rsidRPr="00627DA0" w:rsidRDefault="00F86E95" w:rsidP="00D54797">
      <w:r w:rsidRPr="00627DA0">
        <w:br w:type="page"/>
      </w:r>
    </w:p>
    <w:p w14:paraId="6E914BB3" w14:textId="64AD2966" w:rsidR="00004464" w:rsidRPr="00627DA0" w:rsidRDefault="00004464" w:rsidP="00004464">
      <w:pPr>
        <w:pStyle w:val="Heading1"/>
      </w:pPr>
      <w:bookmarkStart w:id="127" w:name="_Toc207870681"/>
      <w:r w:rsidRPr="00627DA0">
        <w:lastRenderedPageBreak/>
        <w:t>Summary</w:t>
      </w:r>
      <w:bookmarkEnd w:id="127"/>
    </w:p>
    <w:p w14:paraId="23BCE793" w14:textId="10134511" w:rsidR="00AB43AF" w:rsidRPr="00627DA0" w:rsidRDefault="00004464">
      <w:bookmarkStart w:id="128" w:name="_Ref48718543"/>
      <w:r w:rsidRPr="00627DA0">
        <w:t xml:space="preserve">This report </w:t>
      </w:r>
      <w:r w:rsidR="00290671" w:rsidRPr="00627DA0">
        <w:t>summarized</w:t>
      </w:r>
      <w:r w:rsidRPr="00627DA0">
        <w:t xml:space="preserve"> the results of the 202</w:t>
      </w:r>
      <w:r w:rsidR="005D3654" w:rsidRPr="00627DA0">
        <w:t>5</w:t>
      </w:r>
      <w:r w:rsidRPr="00627DA0">
        <w:t xml:space="preserve"> CPA </w:t>
      </w:r>
      <w:r w:rsidR="00686DC4" w:rsidRPr="00627DA0">
        <w:t xml:space="preserve">conducted for </w:t>
      </w:r>
      <w:r w:rsidR="0032364D" w:rsidRPr="00627DA0">
        <w:t>Inland Power</w:t>
      </w:r>
      <w:r w:rsidR="00686DC4" w:rsidRPr="00627DA0">
        <w:t xml:space="preserve">. The assessment provided estimates of </w:t>
      </w:r>
      <w:r w:rsidR="00DF7986" w:rsidRPr="00627DA0">
        <w:t xml:space="preserve">the </w:t>
      </w:r>
      <w:r w:rsidR="006754DE" w:rsidRPr="00627DA0">
        <w:t>cost-effective</w:t>
      </w:r>
      <w:r w:rsidR="008D58AF" w:rsidRPr="00627DA0">
        <w:t xml:space="preserve"> </w:t>
      </w:r>
      <w:r w:rsidR="00686DC4" w:rsidRPr="00627DA0">
        <w:t xml:space="preserve">energy savings </w:t>
      </w:r>
      <w:r w:rsidR="0077426E" w:rsidRPr="00627DA0">
        <w:t xml:space="preserve">potential </w:t>
      </w:r>
      <w:r w:rsidR="00686DC4" w:rsidRPr="00627DA0">
        <w:t xml:space="preserve">for the </w:t>
      </w:r>
      <w:r w:rsidR="00D424A0" w:rsidRPr="00627DA0">
        <w:t>2</w:t>
      </w:r>
      <w:r w:rsidR="005D3654" w:rsidRPr="00627DA0">
        <w:t>0</w:t>
      </w:r>
      <w:r w:rsidR="00D424A0" w:rsidRPr="00627DA0">
        <w:t>-year period beginning in 202</w:t>
      </w:r>
      <w:r w:rsidR="005D3654" w:rsidRPr="00627DA0">
        <w:t>6</w:t>
      </w:r>
      <w:r w:rsidR="00D424A0" w:rsidRPr="00627DA0">
        <w:t xml:space="preserve">, with </w:t>
      </w:r>
      <w:r w:rsidR="00722092" w:rsidRPr="00627DA0">
        <w:t xml:space="preserve">detail </w:t>
      </w:r>
      <w:r w:rsidR="00993F45" w:rsidRPr="00627DA0">
        <w:t>on</w:t>
      </w:r>
      <w:r w:rsidR="00D424A0" w:rsidRPr="00627DA0">
        <w:t xml:space="preserve"> the first </w:t>
      </w:r>
      <w:r w:rsidR="009E08A8" w:rsidRPr="00627DA0">
        <w:t xml:space="preserve">two and </w:t>
      </w:r>
      <w:r w:rsidR="00C426E8" w:rsidRPr="00627DA0">
        <w:t>ten</w:t>
      </w:r>
      <w:r w:rsidR="00D424A0" w:rsidRPr="00627DA0">
        <w:t xml:space="preserve"> years </w:t>
      </w:r>
      <w:r w:rsidR="00192707" w:rsidRPr="00627DA0">
        <w:t xml:space="preserve">per the requirements of Washington </w:t>
      </w:r>
      <w:r w:rsidR="008770DE" w:rsidRPr="00627DA0">
        <w:t>S</w:t>
      </w:r>
      <w:r w:rsidR="00192707" w:rsidRPr="00627DA0">
        <w:t xml:space="preserve">tate’s </w:t>
      </w:r>
      <w:r w:rsidR="00C32199" w:rsidRPr="00627DA0">
        <w:t>EIA</w:t>
      </w:r>
      <w:r w:rsidR="00192707" w:rsidRPr="00627DA0">
        <w:t xml:space="preserve">. </w:t>
      </w:r>
      <w:r w:rsidR="007F23EA" w:rsidRPr="00627DA0">
        <w:t>The assessment considered a wide range of measures that are reliable</w:t>
      </w:r>
      <w:r w:rsidR="000D6A38" w:rsidRPr="00627DA0">
        <w:t xml:space="preserve"> and</w:t>
      </w:r>
      <w:r w:rsidR="007F23EA" w:rsidRPr="00627DA0">
        <w:t xml:space="preserve"> available</w:t>
      </w:r>
      <w:r w:rsidR="00AB43AF" w:rsidRPr="00627DA0">
        <w:t xml:space="preserve"> during the study period. </w:t>
      </w:r>
    </w:p>
    <w:p w14:paraId="65DE5766" w14:textId="173AD10A" w:rsidR="00874D43" w:rsidRPr="00627DA0" w:rsidRDefault="00627C42">
      <w:r w:rsidRPr="00627DA0">
        <w:t xml:space="preserve">Compared </w:t>
      </w:r>
      <w:r w:rsidR="00540835" w:rsidRPr="00627DA0">
        <w:t xml:space="preserve">to </w:t>
      </w:r>
      <w:r w:rsidR="0032364D" w:rsidRPr="00627DA0">
        <w:t>Inland Power</w:t>
      </w:r>
      <w:r w:rsidR="00540835" w:rsidRPr="00627DA0">
        <w:t>’s 20</w:t>
      </w:r>
      <w:r w:rsidR="009E08A8" w:rsidRPr="00627DA0">
        <w:t>2</w:t>
      </w:r>
      <w:r w:rsidR="00290671" w:rsidRPr="00627DA0">
        <w:t>3</w:t>
      </w:r>
      <w:r w:rsidR="00540835" w:rsidRPr="00627DA0">
        <w:t xml:space="preserve"> CPA, the </w:t>
      </w:r>
      <w:r w:rsidR="005373E2" w:rsidRPr="00627DA0">
        <w:t xml:space="preserve">cost-effective </w:t>
      </w:r>
      <w:r w:rsidR="00540835" w:rsidRPr="00627DA0">
        <w:t xml:space="preserve">potential has </w:t>
      </w:r>
      <w:r w:rsidR="006A533D" w:rsidRPr="00627DA0">
        <w:t>de</w:t>
      </w:r>
      <w:r w:rsidR="00540835" w:rsidRPr="00627DA0">
        <w:t>creased.</w:t>
      </w:r>
      <w:r w:rsidR="00F55F93" w:rsidRPr="00627DA0">
        <w:t xml:space="preserve"> </w:t>
      </w:r>
      <w:r w:rsidR="0094006E" w:rsidRPr="00627DA0">
        <w:t xml:space="preserve">The decreases in cost-effective potential are </w:t>
      </w:r>
      <w:r w:rsidR="00FF11EB" w:rsidRPr="00627DA0">
        <w:t xml:space="preserve">driven by updated </w:t>
      </w:r>
      <w:r w:rsidR="00246950" w:rsidRPr="00627DA0">
        <w:t xml:space="preserve">customer forecasts, </w:t>
      </w:r>
      <w:r w:rsidR="00892E4D" w:rsidRPr="00627DA0">
        <w:t xml:space="preserve">lower avoided costs, </w:t>
      </w:r>
      <w:r w:rsidR="00246950" w:rsidRPr="00627DA0">
        <w:t xml:space="preserve">updated </w:t>
      </w:r>
      <w:r w:rsidR="00FF11EB" w:rsidRPr="00627DA0">
        <w:t xml:space="preserve">measure </w:t>
      </w:r>
      <w:r w:rsidR="0052497B" w:rsidRPr="00627DA0">
        <w:t xml:space="preserve">assumptions, </w:t>
      </w:r>
      <w:r w:rsidR="0068551C" w:rsidRPr="00627DA0">
        <w:t>incorporation of the state’s mercury lighting ban,</w:t>
      </w:r>
      <w:r w:rsidR="00FF11EB" w:rsidRPr="00627DA0">
        <w:t xml:space="preserve"> </w:t>
      </w:r>
      <w:r w:rsidR="00527B88" w:rsidRPr="00627DA0">
        <w:t xml:space="preserve">and adjustments to account for </w:t>
      </w:r>
      <w:r w:rsidR="0032364D" w:rsidRPr="00627DA0">
        <w:t>Inland Power</w:t>
      </w:r>
      <w:r w:rsidR="00527B88" w:rsidRPr="00627DA0">
        <w:t>’s recent achievements</w:t>
      </w:r>
      <w:r w:rsidR="00DF6FCB" w:rsidRPr="00627DA0">
        <w:t>.</w:t>
      </w:r>
    </w:p>
    <w:p w14:paraId="6626FCAB" w14:textId="08193C34" w:rsidR="00996873" w:rsidRPr="00627DA0" w:rsidRDefault="00996873" w:rsidP="00996873">
      <w:pPr>
        <w:pStyle w:val="Heading2"/>
      </w:pPr>
      <w:bookmarkStart w:id="129" w:name="_Toc207870682"/>
      <w:r w:rsidRPr="00627DA0">
        <w:t>Compliance with State R</w:t>
      </w:r>
      <w:r w:rsidR="00DB2DF4" w:rsidRPr="00627DA0">
        <w:t>equirements</w:t>
      </w:r>
      <w:bookmarkEnd w:id="129"/>
    </w:p>
    <w:p w14:paraId="4B273CBB" w14:textId="45D1FF99" w:rsidR="00DB2DF4" w:rsidRPr="00627DA0" w:rsidRDefault="00DB2DF4" w:rsidP="00DB2DF4">
      <w:r w:rsidRPr="00627DA0">
        <w:t xml:space="preserve">The methodology used to estimate the cost-effective energy efficiency potential </w:t>
      </w:r>
      <w:r w:rsidR="003014DE" w:rsidRPr="00627DA0">
        <w:t xml:space="preserve">described in this report is consistent with the methodology </w:t>
      </w:r>
      <w:r w:rsidR="00763AAF" w:rsidRPr="00627DA0">
        <w:t xml:space="preserve">used by the Council </w:t>
      </w:r>
      <w:r w:rsidR="003B406F" w:rsidRPr="00627DA0">
        <w:t>in</w:t>
      </w:r>
      <w:r w:rsidR="00763AAF" w:rsidRPr="00627DA0">
        <w:t xml:space="preserve"> determining the potential and cost-effectiveness of conservation </w:t>
      </w:r>
      <w:r w:rsidR="00335AF8" w:rsidRPr="00627DA0">
        <w:t>resources</w:t>
      </w:r>
      <w:r w:rsidR="0002748C" w:rsidRPr="00627DA0">
        <w:t xml:space="preserve"> in the </w:t>
      </w:r>
      <w:r w:rsidR="00644413" w:rsidRPr="00627DA0">
        <w:t>2021</w:t>
      </w:r>
      <w:r w:rsidR="0002748C" w:rsidRPr="00627DA0">
        <w:t xml:space="preserve"> Power Plan</w:t>
      </w:r>
      <w:r w:rsidR="00335AF8" w:rsidRPr="00627DA0">
        <w:t xml:space="preserve">. Appendix </w:t>
      </w:r>
      <w:r w:rsidR="007B5985" w:rsidRPr="00627DA0">
        <w:t>III</w:t>
      </w:r>
      <w:r w:rsidR="00335AF8" w:rsidRPr="00627DA0">
        <w:t xml:space="preserve"> </w:t>
      </w:r>
      <w:r w:rsidR="00DF1880" w:rsidRPr="00627DA0">
        <w:t>provides a list of</w:t>
      </w:r>
      <w:r w:rsidR="00335AF8" w:rsidRPr="00627DA0">
        <w:t xml:space="preserve"> </w:t>
      </w:r>
      <w:r w:rsidR="00D16F17" w:rsidRPr="00627DA0">
        <w:t xml:space="preserve">Washington’s </w:t>
      </w:r>
      <w:r w:rsidR="009A7EF1" w:rsidRPr="00627DA0">
        <w:t xml:space="preserve">EIA </w:t>
      </w:r>
      <w:r w:rsidR="00335AF8" w:rsidRPr="00627DA0">
        <w:t>requirement</w:t>
      </w:r>
      <w:r w:rsidR="004E197B" w:rsidRPr="00627DA0">
        <w:t>s</w:t>
      </w:r>
      <w:r w:rsidR="00335AF8" w:rsidRPr="00627DA0">
        <w:t xml:space="preserve"> and </w:t>
      </w:r>
      <w:r w:rsidR="00DF1880" w:rsidRPr="00627DA0">
        <w:t xml:space="preserve">a description of how each was implemented. </w:t>
      </w:r>
      <w:r w:rsidR="008A31C1" w:rsidRPr="00627DA0">
        <w:t xml:space="preserve">In addition to using a methodology consistent with the Council’s </w:t>
      </w:r>
      <w:r w:rsidR="004E197B" w:rsidRPr="00627DA0">
        <w:t xml:space="preserve">2021 </w:t>
      </w:r>
      <w:r w:rsidR="005F27FA" w:rsidRPr="00627DA0">
        <w:t xml:space="preserve">Power </w:t>
      </w:r>
      <w:r w:rsidR="004E197B" w:rsidRPr="00627DA0">
        <w:t>Plan</w:t>
      </w:r>
      <w:r w:rsidR="0002748C" w:rsidRPr="00627DA0">
        <w:t>, the assessment used assumptions</w:t>
      </w:r>
      <w:r w:rsidR="00990E41" w:rsidRPr="00627DA0">
        <w:t xml:space="preserve"> from the 2021 Power Plan where utility-specific inputs were not used. </w:t>
      </w:r>
      <w:r w:rsidR="005C0DB6" w:rsidRPr="00627DA0">
        <w:t>Utility-specific inputs covering customer characteristics, previous conservation achievements</w:t>
      </w:r>
      <w:r w:rsidR="0011101A" w:rsidRPr="00627DA0">
        <w:t xml:space="preserve">, and some </w:t>
      </w:r>
      <w:r w:rsidR="0069328C" w:rsidRPr="00627DA0">
        <w:t>economic</w:t>
      </w:r>
      <w:r w:rsidR="0011101A" w:rsidRPr="00627DA0">
        <w:t xml:space="preserve"> inputs were used. </w:t>
      </w:r>
      <w:r w:rsidR="004D1110" w:rsidRPr="00627DA0">
        <w:t>The assessment included the measures considered in the</w:t>
      </w:r>
      <w:r w:rsidR="00301BDF" w:rsidRPr="00627DA0">
        <w:t xml:space="preserve"> </w:t>
      </w:r>
      <w:r w:rsidR="0069328C" w:rsidRPr="00627DA0">
        <w:t xml:space="preserve">2021 </w:t>
      </w:r>
      <w:r w:rsidR="00697CA0" w:rsidRPr="00627DA0">
        <w:t xml:space="preserve">Power </w:t>
      </w:r>
      <w:r w:rsidR="0069328C" w:rsidRPr="00627DA0">
        <w:t>Plan</w:t>
      </w:r>
      <w:r w:rsidR="00301BDF" w:rsidRPr="00627DA0">
        <w:t xml:space="preserve"> materials</w:t>
      </w:r>
      <w:r w:rsidR="004D1110" w:rsidRPr="00627DA0">
        <w:t xml:space="preserve">, </w:t>
      </w:r>
      <w:r w:rsidR="00E03AEB" w:rsidRPr="00627DA0">
        <w:t xml:space="preserve">updated </w:t>
      </w:r>
      <w:r w:rsidR="004D1110" w:rsidRPr="00627DA0">
        <w:t xml:space="preserve">with </w:t>
      </w:r>
      <w:r w:rsidR="00E03AEB" w:rsidRPr="00627DA0">
        <w:t>new</w:t>
      </w:r>
      <w:r w:rsidR="00301BDF" w:rsidRPr="00627DA0">
        <w:t xml:space="preserve"> </w:t>
      </w:r>
      <w:r w:rsidR="00E03AEB" w:rsidRPr="00627DA0">
        <w:t xml:space="preserve">information from the </w:t>
      </w:r>
      <w:r w:rsidR="00301BDF" w:rsidRPr="00627DA0">
        <w:t>RTF</w:t>
      </w:r>
      <w:r w:rsidR="009D3CF8" w:rsidRPr="00627DA0">
        <w:t xml:space="preserve"> made available since its publication</w:t>
      </w:r>
      <w:r w:rsidR="00435160" w:rsidRPr="00627DA0">
        <w:t>.</w:t>
      </w:r>
    </w:p>
    <w:p w14:paraId="625E4CCC" w14:textId="77777777" w:rsidR="006000D6" w:rsidRPr="00627DA0" w:rsidRDefault="006000D6" w:rsidP="00DB2DF4"/>
    <w:p w14:paraId="5A4F0287" w14:textId="64BC3D9D" w:rsidR="00DB5A53" w:rsidRPr="00627DA0" w:rsidRDefault="00DB5A53" w:rsidP="00616AA1">
      <w:r w:rsidRPr="00627DA0">
        <w:br w:type="page"/>
      </w:r>
    </w:p>
    <w:p w14:paraId="28E9FB1F" w14:textId="27712D85" w:rsidR="00AE3A82" w:rsidRPr="00627DA0" w:rsidRDefault="004429B7" w:rsidP="004429B7">
      <w:pPr>
        <w:pStyle w:val="Heading1"/>
      </w:pPr>
      <w:bookmarkStart w:id="130" w:name="_Toc207870683"/>
      <w:r w:rsidRPr="00627DA0">
        <w:lastRenderedPageBreak/>
        <w:t>References</w:t>
      </w:r>
      <w:bookmarkEnd w:id="130"/>
    </w:p>
    <w:bookmarkEnd w:id="128"/>
    <w:p w14:paraId="3F62D7F9" w14:textId="5DA37D7E" w:rsidR="00D048F5" w:rsidRPr="00627DA0" w:rsidRDefault="00D048F5" w:rsidP="00D048F5">
      <w:pPr>
        <w:ind w:left="360" w:hanging="360"/>
        <w:jc w:val="left"/>
      </w:pPr>
      <w:r w:rsidRPr="00627DA0">
        <w:t xml:space="preserve">Evergreen Economics. (2024). 2022 Residential Building Stock Assessment. Portland, OR: Northwest Energy Efficiency Alliance. </w:t>
      </w:r>
      <w:hyperlink r:id="rId44" w:history="1">
        <w:r w:rsidRPr="00627DA0">
          <w:rPr>
            <w:rStyle w:val="Hyperlink"/>
          </w:rPr>
          <w:t>https://neea.org/data/residential-building-stock-assessment</w:t>
        </w:r>
      </w:hyperlink>
    </w:p>
    <w:p w14:paraId="4E043107" w14:textId="2794C6E4" w:rsidR="00D048F5" w:rsidRPr="00627DA0" w:rsidRDefault="00D048F5" w:rsidP="00D048F5">
      <w:pPr>
        <w:ind w:left="360" w:hanging="360"/>
        <w:jc w:val="left"/>
      </w:pPr>
      <w:r w:rsidRPr="00627DA0">
        <w:t xml:space="preserve">Cadmus Group. (2020). Commercial Building Stock Assessment 4 (2019) Final Report. Portland, OR: Northwest Energy Efficiency Alliance. </w:t>
      </w:r>
      <w:hyperlink r:id="rId45" w:history="1">
        <w:r w:rsidRPr="00627DA0">
          <w:rPr>
            <w:rStyle w:val="Hyperlink"/>
          </w:rPr>
          <w:t>https://neea.org/data/commercial-building-stock-assessments</w:t>
        </w:r>
      </w:hyperlink>
    </w:p>
    <w:p w14:paraId="11D9B94E" w14:textId="14F3B3CB" w:rsidR="00D048F5" w:rsidRPr="00627DA0" w:rsidRDefault="00D048F5" w:rsidP="00D048F5">
      <w:pPr>
        <w:ind w:left="360" w:hanging="360"/>
        <w:jc w:val="left"/>
      </w:pPr>
      <w:r w:rsidRPr="00627DA0">
        <w:t>Northwest Power and Conservation Council. (December 11, 2020)</w:t>
      </w:r>
      <w:r w:rsidR="00B0225A" w:rsidRPr="00627DA0">
        <w:t xml:space="preserve">. </w:t>
      </w:r>
      <w:r w:rsidRPr="00627DA0">
        <w:t xml:space="preserve">2021 Power Plan Technical Information and Data. </w:t>
      </w:r>
      <w:hyperlink r:id="rId46" w:history="1">
        <w:r w:rsidRPr="00627DA0">
          <w:rPr>
            <w:rStyle w:val="Hyperlink"/>
          </w:rPr>
          <w:t>https://www.nwcouncil.org/2021-power-plan-technical-information-and-data</w:t>
        </w:r>
      </w:hyperlink>
    </w:p>
    <w:p w14:paraId="5B0A6C2E" w14:textId="4EBAE924" w:rsidR="00D048F5" w:rsidRPr="00627DA0" w:rsidRDefault="00D048F5" w:rsidP="00D048F5">
      <w:pPr>
        <w:ind w:left="360" w:hanging="360"/>
        <w:jc w:val="left"/>
      </w:pPr>
      <w:r w:rsidRPr="00627DA0">
        <w:t xml:space="preserve">Oak Ridge National Laboratory. (1987). Electricity Use and Savings in the Hood River Conservation Project. </w:t>
      </w:r>
      <w:hyperlink r:id="rId47" w:history="1">
        <w:r w:rsidRPr="00627DA0">
          <w:rPr>
            <w:rStyle w:val="Hyperlink"/>
          </w:rPr>
          <w:t>https://www.osti.gov/biblio/6880640</w:t>
        </w:r>
      </w:hyperlink>
    </w:p>
    <w:p w14:paraId="39E50C89" w14:textId="4DFB06D3" w:rsidR="00D048F5" w:rsidRPr="00627DA0" w:rsidRDefault="00D048F5" w:rsidP="00D048F5">
      <w:pPr>
        <w:ind w:left="360" w:hanging="360"/>
        <w:jc w:val="left"/>
      </w:pPr>
      <w:r w:rsidRPr="00627DA0">
        <w:t xml:space="preserve">Regional Technical Forum. Unit Energy Savings Measures Library. </w:t>
      </w:r>
      <w:hyperlink r:id="rId48" w:history="1">
        <w:r w:rsidRPr="00627DA0">
          <w:rPr>
            <w:rStyle w:val="Hyperlink"/>
          </w:rPr>
          <w:t>https://rtf.nwcouncil.org/measures/</w:t>
        </w:r>
      </w:hyperlink>
    </w:p>
    <w:p w14:paraId="231EA5DC" w14:textId="1BDC3E9A" w:rsidR="00D048F5" w:rsidRPr="00627DA0" w:rsidRDefault="00D048F5" w:rsidP="00D048F5">
      <w:pPr>
        <w:ind w:left="360" w:hanging="360"/>
        <w:jc w:val="left"/>
      </w:pPr>
      <w:r w:rsidRPr="00627DA0">
        <w:t xml:space="preserve">Regional Technical Forum. (2023). Regional Conservation Progress Report. </w:t>
      </w:r>
      <w:hyperlink r:id="rId49" w:history="1">
        <w:r w:rsidRPr="00627DA0">
          <w:rPr>
            <w:rStyle w:val="Hyperlink"/>
          </w:rPr>
          <w:t>https://rtf.nwcouncil.org/about-rtf/conservation-achievements/2023/</w:t>
        </w:r>
      </w:hyperlink>
    </w:p>
    <w:p w14:paraId="69CDA456" w14:textId="05F0D087" w:rsidR="00D048F5" w:rsidRPr="00627DA0" w:rsidRDefault="00D048F5" w:rsidP="00D048F5">
      <w:pPr>
        <w:ind w:left="360" w:hanging="360"/>
        <w:jc w:val="left"/>
      </w:pPr>
      <w:r w:rsidRPr="00627DA0">
        <w:t xml:space="preserve">Northwest Power and Conservation Council. (1980). Pacific Northwest Electric Power Planning and Conservation Act. </w:t>
      </w:r>
      <w:hyperlink r:id="rId50" w:history="1">
        <w:r w:rsidRPr="00627DA0">
          <w:rPr>
            <w:rStyle w:val="Hyperlink"/>
          </w:rPr>
          <w:t>https://www.nwcouncil.org/reports/northwest-power-act/</w:t>
        </w:r>
      </w:hyperlink>
    </w:p>
    <w:p w14:paraId="11267905" w14:textId="7ADB1F55" w:rsidR="00D048F5" w:rsidRPr="00627DA0" w:rsidRDefault="00D048F5" w:rsidP="00D048F5">
      <w:pPr>
        <w:ind w:left="360" w:hanging="360"/>
        <w:jc w:val="left"/>
      </w:pPr>
      <w:r w:rsidRPr="00627DA0">
        <w:t xml:space="preserve">US Census Bureau. American Community Survey. </w:t>
      </w:r>
      <w:hyperlink r:id="rId51" w:history="1">
        <w:r w:rsidRPr="00627DA0">
          <w:rPr>
            <w:rStyle w:val="Hyperlink"/>
          </w:rPr>
          <w:t>https://www.census.gov/programs-surveys/acs</w:t>
        </w:r>
      </w:hyperlink>
    </w:p>
    <w:p w14:paraId="0BFD7F60" w14:textId="77777777" w:rsidR="00D048F5" w:rsidRPr="00627DA0" w:rsidRDefault="00D048F5" w:rsidP="00D048F5">
      <w:pPr>
        <w:ind w:left="360" w:hanging="360"/>
        <w:jc w:val="left"/>
      </w:pPr>
    </w:p>
    <w:p w14:paraId="38310796" w14:textId="77777777" w:rsidR="007103A6" w:rsidRPr="00627DA0" w:rsidRDefault="007103A6" w:rsidP="00B309A6"/>
    <w:p w14:paraId="3B6E9D2E" w14:textId="77777777" w:rsidR="008C0846" w:rsidRPr="00627DA0" w:rsidRDefault="008C0846">
      <w:r w:rsidRPr="00627DA0">
        <w:br w:type="page"/>
      </w:r>
    </w:p>
    <w:p w14:paraId="7C8F6F2C" w14:textId="77777777" w:rsidR="008B1C4A" w:rsidRPr="00627DA0" w:rsidRDefault="008C0846" w:rsidP="00685847">
      <w:pPr>
        <w:pStyle w:val="Heading1"/>
      </w:pPr>
      <w:bookmarkStart w:id="131" w:name="_Toc207870684"/>
      <w:r w:rsidRPr="00627DA0">
        <w:lastRenderedPageBreak/>
        <w:t>Appendix I: Acronyms</w:t>
      </w:r>
      <w:bookmarkEnd w:id="131"/>
    </w:p>
    <w:p w14:paraId="13ED07A5" w14:textId="02ADA2CE" w:rsidR="003906A9" w:rsidRPr="00627DA0" w:rsidRDefault="003906A9" w:rsidP="008B1C4A">
      <w:r w:rsidRPr="00627DA0">
        <w:t xml:space="preserve">aMW </w:t>
      </w:r>
      <w:r w:rsidR="00D315D2" w:rsidRPr="00627DA0">
        <w:tab/>
      </w:r>
      <w:r w:rsidR="00484092" w:rsidRPr="00627DA0">
        <w:tab/>
      </w:r>
      <w:r w:rsidR="005C62EA" w:rsidRPr="00627DA0">
        <w:t>A</w:t>
      </w:r>
      <w:r w:rsidRPr="00627DA0">
        <w:t xml:space="preserve">verage </w:t>
      </w:r>
      <w:r w:rsidR="005C62EA" w:rsidRPr="00627DA0">
        <w:t>M</w:t>
      </w:r>
      <w:r w:rsidRPr="00627DA0">
        <w:t>egawatt</w:t>
      </w:r>
    </w:p>
    <w:p w14:paraId="637383AB" w14:textId="3FE24A1A" w:rsidR="003906A9" w:rsidRPr="00627DA0" w:rsidRDefault="003906A9" w:rsidP="008B1C4A">
      <w:r w:rsidRPr="00627DA0">
        <w:t xml:space="preserve">BPA </w:t>
      </w:r>
      <w:r w:rsidR="00D315D2" w:rsidRPr="00627DA0">
        <w:tab/>
      </w:r>
      <w:r w:rsidR="00484092" w:rsidRPr="00627DA0">
        <w:tab/>
      </w:r>
      <w:r w:rsidRPr="00627DA0">
        <w:t>Bonneville Power Administration</w:t>
      </w:r>
    </w:p>
    <w:p w14:paraId="0F6D8F4E" w14:textId="0C07DE62" w:rsidR="00860A91" w:rsidRPr="00627DA0" w:rsidRDefault="00860A91" w:rsidP="008B1C4A">
      <w:r w:rsidRPr="00627DA0">
        <w:t>CETA</w:t>
      </w:r>
      <w:r w:rsidRPr="00627DA0">
        <w:tab/>
      </w:r>
      <w:r w:rsidRPr="00627DA0">
        <w:tab/>
        <w:t>Clean Energy Transformation Act</w:t>
      </w:r>
    </w:p>
    <w:p w14:paraId="1658ADB6" w14:textId="5A934DAD" w:rsidR="003906A9" w:rsidRPr="00627DA0" w:rsidRDefault="003906A9" w:rsidP="008B1C4A">
      <w:r w:rsidRPr="00627DA0">
        <w:t xml:space="preserve">CPA </w:t>
      </w:r>
      <w:r w:rsidR="00D315D2" w:rsidRPr="00627DA0">
        <w:tab/>
      </w:r>
      <w:r w:rsidR="00484092" w:rsidRPr="00627DA0">
        <w:tab/>
      </w:r>
      <w:r w:rsidRPr="00627DA0">
        <w:t>Conservation Potential Assessment</w:t>
      </w:r>
    </w:p>
    <w:p w14:paraId="2F543BD6" w14:textId="6017C06F" w:rsidR="00A52B59" w:rsidRPr="00627DA0" w:rsidRDefault="00A52B59" w:rsidP="008B1C4A">
      <w:r w:rsidRPr="00627DA0">
        <w:t xml:space="preserve">EIA </w:t>
      </w:r>
      <w:r w:rsidR="00D315D2" w:rsidRPr="00627DA0">
        <w:tab/>
      </w:r>
      <w:r w:rsidR="00484092" w:rsidRPr="00627DA0">
        <w:tab/>
      </w:r>
      <w:r w:rsidRPr="00627DA0">
        <w:t>Energy Independence Act</w:t>
      </w:r>
    </w:p>
    <w:p w14:paraId="7691CC4B" w14:textId="0A3E5352" w:rsidR="00A52B59" w:rsidRPr="00627DA0" w:rsidRDefault="00A52B59" w:rsidP="008B1C4A">
      <w:r w:rsidRPr="00627DA0">
        <w:t xml:space="preserve">EUI </w:t>
      </w:r>
      <w:r w:rsidR="00D315D2" w:rsidRPr="00627DA0">
        <w:tab/>
      </w:r>
      <w:r w:rsidR="00484092" w:rsidRPr="00627DA0">
        <w:tab/>
      </w:r>
      <w:r w:rsidRPr="00627DA0">
        <w:t>Energy Use Intensity</w:t>
      </w:r>
    </w:p>
    <w:p w14:paraId="01C0053D" w14:textId="140F20F9" w:rsidR="00A52B59" w:rsidRPr="00627DA0" w:rsidRDefault="000D025E" w:rsidP="008B1C4A">
      <w:r w:rsidRPr="00627DA0">
        <w:t>HPWH</w:t>
      </w:r>
      <w:r w:rsidR="00D315D2" w:rsidRPr="00627DA0">
        <w:tab/>
      </w:r>
      <w:r w:rsidR="00484092" w:rsidRPr="00627DA0">
        <w:tab/>
      </w:r>
      <w:r w:rsidRPr="00627DA0">
        <w:t>Heat Pump Water Heater</w:t>
      </w:r>
    </w:p>
    <w:p w14:paraId="016E6A71" w14:textId="23709C11" w:rsidR="000D025E" w:rsidRPr="00627DA0" w:rsidRDefault="000D025E" w:rsidP="008B1C4A">
      <w:r w:rsidRPr="00627DA0">
        <w:t>HVAC</w:t>
      </w:r>
      <w:r w:rsidR="00D315D2" w:rsidRPr="00627DA0">
        <w:tab/>
      </w:r>
      <w:r w:rsidR="00484092" w:rsidRPr="00627DA0">
        <w:tab/>
      </w:r>
      <w:r w:rsidRPr="00627DA0">
        <w:t>Heating, Ventilation, and Air Conditioning</w:t>
      </w:r>
    </w:p>
    <w:p w14:paraId="51A4AFC9" w14:textId="11BC4802" w:rsidR="005874A0" w:rsidRPr="00627DA0" w:rsidRDefault="005874A0" w:rsidP="008B1C4A">
      <w:r w:rsidRPr="00627DA0">
        <w:t xml:space="preserve">kW </w:t>
      </w:r>
      <w:r w:rsidR="00D315D2" w:rsidRPr="00627DA0">
        <w:tab/>
      </w:r>
      <w:r w:rsidR="00484092" w:rsidRPr="00627DA0">
        <w:tab/>
      </w:r>
      <w:r w:rsidRPr="00627DA0">
        <w:t>kilowatt</w:t>
      </w:r>
    </w:p>
    <w:p w14:paraId="3953F2B3" w14:textId="7F2341F9" w:rsidR="005874A0" w:rsidRPr="00627DA0" w:rsidRDefault="005874A0" w:rsidP="008B1C4A">
      <w:r w:rsidRPr="00627DA0">
        <w:t xml:space="preserve">kWh </w:t>
      </w:r>
      <w:r w:rsidR="00D315D2" w:rsidRPr="00627DA0">
        <w:tab/>
      </w:r>
      <w:r w:rsidR="00484092" w:rsidRPr="00627DA0">
        <w:tab/>
      </w:r>
      <w:r w:rsidRPr="00627DA0">
        <w:t>kilowatt-hour</w:t>
      </w:r>
    </w:p>
    <w:p w14:paraId="479686F3" w14:textId="06A6F814" w:rsidR="005874A0" w:rsidRPr="00627DA0" w:rsidRDefault="005874A0" w:rsidP="008B1C4A">
      <w:r w:rsidRPr="00627DA0">
        <w:t>LED</w:t>
      </w:r>
      <w:r w:rsidR="00D315D2" w:rsidRPr="00627DA0">
        <w:tab/>
      </w:r>
      <w:r w:rsidR="00484092" w:rsidRPr="00627DA0">
        <w:tab/>
      </w:r>
      <w:r w:rsidRPr="00627DA0">
        <w:t>Light</w:t>
      </w:r>
      <w:r w:rsidR="00D315D2" w:rsidRPr="00627DA0">
        <w:t>-Emitting Diode</w:t>
      </w:r>
    </w:p>
    <w:p w14:paraId="5D2B4061" w14:textId="4AB32A1C" w:rsidR="00D315D2" w:rsidRPr="00627DA0" w:rsidRDefault="00D315D2" w:rsidP="008B1C4A">
      <w:r w:rsidRPr="00627DA0">
        <w:t>MW</w:t>
      </w:r>
      <w:r w:rsidRPr="00627DA0">
        <w:tab/>
      </w:r>
      <w:r w:rsidR="00484092" w:rsidRPr="00627DA0">
        <w:tab/>
      </w:r>
      <w:r w:rsidRPr="00627DA0">
        <w:t>Megawatt</w:t>
      </w:r>
    </w:p>
    <w:p w14:paraId="566347DE" w14:textId="30B3C31E" w:rsidR="00484092" w:rsidRPr="00627DA0" w:rsidRDefault="00484092" w:rsidP="008B1C4A">
      <w:r w:rsidRPr="00627DA0">
        <w:t>MWh</w:t>
      </w:r>
      <w:r w:rsidRPr="00627DA0">
        <w:tab/>
      </w:r>
      <w:r w:rsidRPr="00627DA0">
        <w:tab/>
        <w:t>Megawatt-hour</w:t>
      </w:r>
    </w:p>
    <w:p w14:paraId="7B511702" w14:textId="4BD50106" w:rsidR="00484092" w:rsidRPr="00627DA0" w:rsidRDefault="00484092" w:rsidP="008B1C4A">
      <w:r w:rsidRPr="00627DA0">
        <w:t>NEEA</w:t>
      </w:r>
      <w:r w:rsidRPr="00627DA0">
        <w:tab/>
      </w:r>
      <w:r w:rsidRPr="00627DA0">
        <w:tab/>
        <w:t>Northwest Energy Efficiency Alliance</w:t>
      </w:r>
    </w:p>
    <w:p w14:paraId="459510E1" w14:textId="51D27B72" w:rsidR="00484092" w:rsidRPr="00627DA0" w:rsidRDefault="00102A4D" w:rsidP="008B1C4A">
      <w:r w:rsidRPr="00627DA0">
        <w:t>O&amp;M</w:t>
      </w:r>
      <w:r w:rsidRPr="00627DA0">
        <w:tab/>
      </w:r>
      <w:r w:rsidRPr="00627DA0">
        <w:tab/>
        <w:t>Operations and Maintenance</w:t>
      </w:r>
    </w:p>
    <w:p w14:paraId="0BC02F25" w14:textId="6AC3C8C3" w:rsidR="006203B8" w:rsidRPr="00627DA0" w:rsidRDefault="006203B8" w:rsidP="008B1C4A">
      <w:r w:rsidRPr="00627DA0">
        <w:t>RPS</w:t>
      </w:r>
      <w:r w:rsidRPr="00627DA0">
        <w:tab/>
      </w:r>
      <w:r w:rsidRPr="00627DA0">
        <w:tab/>
        <w:t>Renewable Portfolio Standard</w:t>
      </w:r>
    </w:p>
    <w:p w14:paraId="73F9C5C4" w14:textId="550BE135" w:rsidR="006203B8" w:rsidRPr="00627DA0" w:rsidRDefault="006203B8" w:rsidP="008B1C4A">
      <w:r w:rsidRPr="00627DA0">
        <w:t>RTF</w:t>
      </w:r>
      <w:r w:rsidRPr="00627DA0">
        <w:tab/>
      </w:r>
      <w:r w:rsidRPr="00627DA0">
        <w:tab/>
        <w:t>Regional Technical Forum</w:t>
      </w:r>
    </w:p>
    <w:p w14:paraId="12D6B855" w14:textId="6E29A9E7" w:rsidR="00102A4D" w:rsidRPr="00627DA0" w:rsidRDefault="00102A4D" w:rsidP="008B1C4A">
      <w:r w:rsidRPr="00627DA0">
        <w:t>SEM</w:t>
      </w:r>
      <w:r w:rsidRPr="00627DA0">
        <w:tab/>
      </w:r>
      <w:r w:rsidRPr="00627DA0">
        <w:tab/>
        <w:t>Strategic Energy Management</w:t>
      </w:r>
    </w:p>
    <w:p w14:paraId="4F67E646" w14:textId="630E14A0" w:rsidR="005C62EA" w:rsidRPr="00627DA0" w:rsidRDefault="005C62EA" w:rsidP="008B1C4A">
      <w:r w:rsidRPr="00627DA0">
        <w:t>TRC</w:t>
      </w:r>
      <w:r w:rsidRPr="00627DA0">
        <w:tab/>
      </w:r>
      <w:r w:rsidRPr="00627DA0">
        <w:tab/>
        <w:t>Total Resource Cost</w:t>
      </w:r>
    </w:p>
    <w:p w14:paraId="2E3A29B9" w14:textId="77777777" w:rsidR="005C62EA" w:rsidRPr="00627DA0" w:rsidRDefault="005C62EA" w:rsidP="008B1C4A"/>
    <w:p w14:paraId="64F9C9CA" w14:textId="77777777" w:rsidR="006203B8" w:rsidRPr="00627DA0" w:rsidRDefault="006203B8" w:rsidP="008B1C4A"/>
    <w:p w14:paraId="4AB7EF1F" w14:textId="77777777" w:rsidR="005874A0" w:rsidRPr="00627DA0" w:rsidRDefault="005874A0" w:rsidP="008B1C4A"/>
    <w:p w14:paraId="468E7CE7" w14:textId="68B23255" w:rsidR="005C62EA" w:rsidRPr="00627DA0" w:rsidRDefault="005C62EA">
      <w:r w:rsidRPr="00627DA0">
        <w:br w:type="page"/>
      </w:r>
    </w:p>
    <w:p w14:paraId="1741E463" w14:textId="4A090263" w:rsidR="000D025E" w:rsidRPr="00627DA0" w:rsidRDefault="00A04667" w:rsidP="005C62EA">
      <w:pPr>
        <w:pStyle w:val="Heading1"/>
      </w:pPr>
      <w:bookmarkStart w:id="132" w:name="_Toc207870685"/>
      <w:r w:rsidRPr="00627DA0">
        <w:lastRenderedPageBreak/>
        <w:t xml:space="preserve">Appendix II: </w:t>
      </w:r>
      <w:r w:rsidR="005C62EA" w:rsidRPr="00627DA0">
        <w:t>Glossary</w:t>
      </w:r>
      <w:bookmarkEnd w:id="132"/>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794"/>
      </w:tblGrid>
      <w:tr w:rsidR="00BA42F3" w:rsidRPr="00627DA0" w14:paraId="641485DD" w14:textId="77777777" w:rsidTr="009307AA">
        <w:trPr>
          <w:trHeight w:val="1181"/>
        </w:trPr>
        <w:tc>
          <w:tcPr>
            <w:tcW w:w="2630" w:type="dxa"/>
          </w:tcPr>
          <w:p w14:paraId="695AC046" w14:textId="171518CE" w:rsidR="00BA42F3" w:rsidRPr="00627DA0" w:rsidRDefault="00BE085B" w:rsidP="00BA42F3">
            <w:pPr>
              <w:jc w:val="left"/>
              <w:rPr>
                <w:i/>
                <w:iCs/>
              </w:rPr>
            </w:pPr>
            <w:r w:rsidRPr="00627DA0">
              <w:rPr>
                <w:i/>
                <w:iCs/>
              </w:rPr>
              <w:t xml:space="preserve">Achievable </w:t>
            </w:r>
            <w:r w:rsidR="004418EB" w:rsidRPr="00627DA0">
              <w:rPr>
                <w:i/>
                <w:iCs/>
              </w:rPr>
              <w:t xml:space="preserve">Technical </w:t>
            </w:r>
            <w:r w:rsidRPr="00627DA0">
              <w:rPr>
                <w:i/>
                <w:iCs/>
              </w:rPr>
              <w:t>Potential</w:t>
            </w:r>
          </w:p>
        </w:tc>
        <w:tc>
          <w:tcPr>
            <w:tcW w:w="6794" w:type="dxa"/>
          </w:tcPr>
          <w:p w14:paraId="598F2893" w14:textId="6193F232" w:rsidR="00BA42F3" w:rsidRPr="00627DA0" w:rsidRDefault="00920888" w:rsidP="00BA42F3">
            <w:pPr>
              <w:jc w:val="left"/>
            </w:pPr>
            <w:r w:rsidRPr="00627DA0">
              <w:t xml:space="preserve">Conservation potential that includes considerations of market barriers and programmatic </w:t>
            </w:r>
            <w:r w:rsidR="00E30908" w:rsidRPr="00627DA0">
              <w:t>constraints but</w:t>
            </w:r>
            <w:r w:rsidR="00FA4601" w:rsidRPr="00627DA0">
              <w:t xml:space="preserve"> not cost effectiveness. This is a subset of technical potential. </w:t>
            </w:r>
          </w:p>
        </w:tc>
      </w:tr>
      <w:tr w:rsidR="00BE085B" w:rsidRPr="00627DA0" w14:paraId="311B2556" w14:textId="77777777" w:rsidTr="009307AA">
        <w:trPr>
          <w:trHeight w:val="787"/>
        </w:trPr>
        <w:tc>
          <w:tcPr>
            <w:tcW w:w="2630" w:type="dxa"/>
          </w:tcPr>
          <w:p w14:paraId="4B3BD66D" w14:textId="327277DB" w:rsidR="00BE085B" w:rsidRPr="00627DA0" w:rsidRDefault="00BE085B" w:rsidP="00BE085B">
            <w:pPr>
              <w:jc w:val="left"/>
              <w:rPr>
                <w:i/>
                <w:iCs/>
              </w:rPr>
            </w:pPr>
            <w:r w:rsidRPr="00627DA0">
              <w:rPr>
                <w:i/>
                <w:iCs/>
              </w:rPr>
              <w:t>Average Megawatt (aMW)</w:t>
            </w:r>
          </w:p>
        </w:tc>
        <w:tc>
          <w:tcPr>
            <w:tcW w:w="6794" w:type="dxa"/>
          </w:tcPr>
          <w:p w14:paraId="519DE305" w14:textId="6C6CD65C" w:rsidR="00BE085B" w:rsidRPr="00627DA0" w:rsidRDefault="00BE085B" w:rsidP="00BE085B">
            <w:pPr>
              <w:jc w:val="left"/>
            </w:pPr>
            <w:r w:rsidRPr="00627DA0">
              <w:t>An average hourly usage of electricity, measured in megawatts, across the hours of a day, month, or year</w:t>
            </w:r>
          </w:p>
        </w:tc>
      </w:tr>
      <w:tr w:rsidR="00BE085B" w:rsidRPr="00627DA0" w14:paraId="4EC56745" w14:textId="77777777" w:rsidTr="009307AA">
        <w:trPr>
          <w:trHeight w:val="371"/>
        </w:trPr>
        <w:tc>
          <w:tcPr>
            <w:tcW w:w="2630" w:type="dxa"/>
          </w:tcPr>
          <w:p w14:paraId="02604FCC" w14:textId="5295EB96" w:rsidR="00BE085B" w:rsidRPr="00627DA0" w:rsidRDefault="00BE085B" w:rsidP="00BE085B">
            <w:pPr>
              <w:jc w:val="left"/>
              <w:rPr>
                <w:i/>
                <w:iCs/>
              </w:rPr>
            </w:pPr>
            <w:r w:rsidRPr="00627DA0">
              <w:rPr>
                <w:i/>
                <w:iCs/>
              </w:rPr>
              <w:t>Avoided Cost</w:t>
            </w:r>
          </w:p>
        </w:tc>
        <w:tc>
          <w:tcPr>
            <w:tcW w:w="6794" w:type="dxa"/>
          </w:tcPr>
          <w:p w14:paraId="43E1F6C9" w14:textId="087CA51C" w:rsidR="00BE085B" w:rsidRPr="00627DA0" w:rsidRDefault="00BE085B" w:rsidP="00BE085B">
            <w:pPr>
              <w:jc w:val="left"/>
            </w:pPr>
            <w:r w:rsidRPr="00627DA0">
              <w:t>The costs avoided through the acquisition of energy efficiency</w:t>
            </w:r>
          </w:p>
        </w:tc>
      </w:tr>
      <w:tr w:rsidR="00BE085B" w:rsidRPr="00627DA0" w14:paraId="03F166BE" w14:textId="77777777" w:rsidTr="009307AA">
        <w:trPr>
          <w:trHeight w:val="787"/>
        </w:trPr>
        <w:tc>
          <w:tcPr>
            <w:tcW w:w="2630" w:type="dxa"/>
          </w:tcPr>
          <w:p w14:paraId="0617A247" w14:textId="3C8C5869" w:rsidR="00BE085B" w:rsidRPr="00627DA0" w:rsidRDefault="005064EF" w:rsidP="00BE085B">
            <w:pPr>
              <w:jc w:val="left"/>
              <w:rPr>
                <w:i/>
                <w:iCs/>
              </w:rPr>
            </w:pPr>
            <w:r w:rsidRPr="00627DA0">
              <w:rPr>
                <w:i/>
                <w:iCs/>
              </w:rPr>
              <w:t>Cost Effective</w:t>
            </w:r>
          </w:p>
        </w:tc>
        <w:tc>
          <w:tcPr>
            <w:tcW w:w="6794" w:type="dxa"/>
          </w:tcPr>
          <w:p w14:paraId="53B939F6" w14:textId="1B3A99EB" w:rsidR="00BE085B" w:rsidRPr="00627DA0" w:rsidRDefault="005064EF" w:rsidP="00BE085B">
            <w:pPr>
              <w:jc w:val="left"/>
            </w:pPr>
            <w:r w:rsidRPr="00627DA0">
              <w:t>A measure is described as cost effective when the present value of its benefits exceed</w:t>
            </w:r>
            <w:r w:rsidR="007D2F23" w:rsidRPr="00627DA0">
              <w:t>s</w:t>
            </w:r>
            <w:r w:rsidRPr="00627DA0">
              <w:t xml:space="preserve"> </w:t>
            </w:r>
            <w:r w:rsidR="002B5528" w:rsidRPr="00627DA0">
              <w:t xml:space="preserve">the present value of </w:t>
            </w:r>
            <w:r w:rsidRPr="00627DA0">
              <w:t>its costs</w:t>
            </w:r>
          </w:p>
        </w:tc>
      </w:tr>
      <w:tr w:rsidR="00BE085B" w:rsidRPr="00627DA0" w14:paraId="4159E1D5" w14:textId="77777777" w:rsidTr="009307AA">
        <w:trPr>
          <w:trHeight w:val="1181"/>
        </w:trPr>
        <w:tc>
          <w:tcPr>
            <w:tcW w:w="2630" w:type="dxa"/>
          </w:tcPr>
          <w:p w14:paraId="5EFF285D" w14:textId="35A497A4" w:rsidR="00BE085B" w:rsidRPr="00627DA0" w:rsidRDefault="002B5528" w:rsidP="00BE085B">
            <w:pPr>
              <w:jc w:val="left"/>
              <w:rPr>
                <w:i/>
                <w:iCs/>
              </w:rPr>
            </w:pPr>
            <w:r w:rsidRPr="00627DA0">
              <w:rPr>
                <w:i/>
                <w:iCs/>
              </w:rPr>
              <w:t>Economic Potential</w:t>
            </w:r>
          </w:p>
        </w:tc>
        <w:tc>
          <w:tcPr>
            <w:tcW w:w="6794" w:type="dxa"/>
          </w:tcPr>
          <w:p w14:paraId="7DBC7177" w14:textId="2176D54A" w:rsidR="00BE085B" w:rsidRPr="00627DA0" w:rsidRDefault="002B5528" w:rsidP="00BE085B">
            <w:pPr>
              <w:jc w:val="left"/>
            </w:pPr>
            <w:r w:rsidRPr="00627DA0">
              <w:t xml:space="preserve">Conservation potential that </w:t>
            </w:r>
            <w:r w:rsidR="001F33CC" w:rsidRPr="00627DA0">
              <w:t>passes a cost-effectiveness test. This is a subset of achievable potential. Per the EIA, a Total Resource Cost (TRC) test is used.</w:t>
            </w:r>
          </w:p>
        </w:tc>
      </w:tr>
      <w:tr w:rsidR="00BE085B" w:rsidRPr="00627DA0" w14:paraId="7F364808" w14:textId="77777777" w:rsidTr="009307AA">
        <w:trPr>
          <w:trHeight w:val="1181"/>
        </w:trPr>
        <w:tc>
          <w:tcPr>
            <w:tcW w:w="2630" w:type="dxa"/>
          </w:tcPr>
          <w:p w14:paraId="30398F1B" w14:textId="35161835" w:rsidR="00BE085B" w:rsidRPr="00627DA0" w:rsidRDefault="007469EA" w:rsidP="00BE085B">
            <w:pPr>
              <w:jc w:val="left"/>
              <w:rPr>
                <w:i/>
                <w:iCs/>
              </w:rPr>
            </w:pPr>
            <w:r w:rsidRPr="00627DA0">
              <w:rPr>
                <w:i/>
                <w:iCs/>
              </w:rPr>
              <w:t>Levelized Cost</w:t>
            </w:r>
          </w:p>
        </w:tc>
        <w:tc>
          <w:tcPr>
            <w:tcW w:w="6794" w:type="dxa"/>
          </w:tcPr>
          <w:p w14:paraId="2B33D9C6" w14:textId="20CFF3B1" w:rsidR="00BE085B" w:rsidRPr="00627DA0" w:rsidRDefault="007469EA" w:rsidP="00BE085B">
            <w:pPr>
              <w:jc w:val="left"/>
            </w:pPr>
            <w:r w:rsidRPr="00627DA0">
              <w:t>A measure of costs when they are spread</w:t>
            </w:r>
            <w:r w:rsidR="00656857" w:rsidRPr="00627DA0">
              <w:t xml:space="preserve"> over the life of the measure, similar to a car payment</w:t>
            </w:r>
            <w:r w:rsidR="00A83120" w:rsidRPr="00627DA0">
              <w:t xml:space="preserve">. Levelized costs enable the comparison of resources with different </w:t>
            </w:r>
            <w:r w:rsidR="00A76266" w:rsidRPr="00627DA0">
              <w:t xml:space="preserve">useful </w:t>
            </w:r>
            <w:r w:rsidR="00A83120" w:rsidRPr="00627DA0">
              <w:t>li</w:t>
            </w:r>
            <w:r w:rsidR="00A76266" w:rsidRPr="00627DA0">
              <w:t>fetim</w:t>
            </w:r>
            <w:r w:rsidR="00A83120" w:rsidRPr="00627DA0">
              <w:t>es.</w:t>
            </w:r>
          </w:p>
        </w:tc>
      </w:tr>
      <w:tr w:rsidR="00BE085B" w:rsidRPr="00627DA0" w14:paraId="1CFF96C2" w14:textId="77777777" w:rsidTr="009307AA">
        <w:trPr>
          <w:trHeight w:val="393"/>
        </w:trPr>
        <w:tc>
          <w:tcPr>
            <w:tcW w:w="2630" w:type="dxa"/>
          </w:tcPr>
          <w:p w14:paraId="60766991" w14:textId="280E6451" w:rsidR="00BE085B" w:rsidRPr="00627DA0" w:rsidRDefault="0000258B" w:rsidP="00BE085B">
            <w:pPr>
              <w:jc w:val="left"/>
              <w:rPr>
                <w:i/>
                <w:iCs/>
              </w:rPr>
            </w:pPr>
            <w:r w:rsidRPr="00627DA0">
              <w:rPr>
                <w:i/>
                <w:iCs/>
              </w:rPr>
              <w:t>Megawatt (MW)</w:t>
            </w:r>
          </w:p>
        </w:tc>
        <w:tc>
          <w:tcPr>
            <w:tcW w:w="6794" w:type="dxa"/>
          </w:tcPr>
          <w:p w14:paraId="39BCD9E2" w14:textId="3C213770" w:rsidR="00BE085B" w:rsidRPr="00627DA0" w:rsidRDefault="0000258B" w:rsidP="00BE085B">
            <w:pPr>
              <w:jc w:val="left"/>
            </w:pPr>
            <w:r w:rsidRPr="00627DA0">
              <w:t>A unity of demand equal to 1,000 kilowatts (kW)</w:t>
            </w:r>
          </w:p>
        </w:tc>
      </w:tr>
      <w:tr w:rsidR="00BE085B" w:rsidRPr="00627DA0" w14:paraId="33F74EDF" w14:textId="77777777" w:rsidTr="009307AA">
        <w:trPr>
          <w:trHeight w:val="1553"/>
        </w:trPr>
        <w:tc>
          <w:tcPr>
            <w:tcW w:w="2630" w:type="dxa"/>
          </w:tcPr>
          <w:p w14:paraId="14475A49" w14:textId="03A55DB9" w:rsidR="00BE085B" w:rsidRPr="00627DA0" w:rsidRDefault="00610942" w:rsidP="00BE085B">
            <w:pPr>
              <w:jc w:val="left"/>
              <w:rPr>
                <w:i/>
                <w:iCs/>
              </w:rPr>
            </w:pPr>
            <w:r w:rsidRPr="00627DA0">
              <w:rPr>
                <w:i/>
                <w:iCs/>
              </w:rPr>
              <w:t>Renewable Portfolio Standard</w:t>
            </w:r>
          </w:p>
        </w:tc>
        <w:tc>
          <w:tcPr>
            <w:tcW w:w="6794" w:type="dxa"/>
          </w:tcPr>
          <w:p w14:paraId="105F52C7" w14:textId="35842823" w:rsidR="00BE085B" w:rsidRPr="00627DA0" w:rsidRDefault="00610942" w:rsidP="00BE085B">
            <w:pPr>
              <w:jc w:val="left"/>
            </w:pPr>
            <w:r w:rsidRPr="00627DA0">
              <w:t>A requirement that a certain percentage of a utility’s portfolio come from renewable resources. In 2020</w:t>
            </w:r>
            <w:r w:rsidR="00860A91" w:rsidRPr="00627DA0">
              <w:t>, Washington utilities with more than 25,000 customers are required to source 15% of their energy from renewable resources</w:t>
            </w:r>
          </w:p>
        </w:tc>
      </w:tr>
      <w:tr w:rsidR="00BE085B" w:rsidRPr="00627DA0" w14:paraId="641EF003" w14:textId="77777777" w:rsidTr="009307AA">
        <w:trPr>
          <w:trHeight w:val="787"/>
        </w:trPr>
        <w:tc>
          <w:tcPr>
            <w:tcW w:w="2630" w:type="dxa"/>
          </w:tcPr>
          <w:p w14:paraId="31998BCB" w14:textId="7CFA5DBD" w:rsidR="00BE085B" w:rsidRPr="00627DA0" w:rsidRDefault="00860A91" w:rsidP="00BE085B">
            <w:pPr>
              <w:jc w:val="left"/>
              <w:rPr>
                <w:i/>
                <w:iCs/>
              </w:rPr>
            </w:pPr>
            <w:r w:rsidRPr="00627DA0">
              <w:rPr>
                <w:i/>
                <w:iCs/>
              </w:rPr>
              <w:t>Technical Potential</w:t>
            </w:r>
          </w:p>
        </w:tc>
        <w:tc>
          <w:tcPr>
            <w:tcW w:w="6794" w:type="dxa"/>
          </w:tcPr>
          <w:p w14:paraId="6A94A8DC" w14:textId="115B267D" w:rsidR="00BE085B" w:rsidRPr="00627DA0" w:rsidRDefault="00860A91" w:rsidP="00BE085B">
            <w:pPr>
              <w:jc w:val="left"/>
            </w:pPr>
            <w:r w:rsidRPr="00627DA0">
              <w:t xml:space="preserve">The </w:t>
            </w:r>
            <w:r w:rsidR="00BA7A5F" w:rsidRPr="00627DA0">
              <w:t>set of possible conservation savings that includes all possible measures, regardless of market or cost barriers</w:t>
            </w:r>
          </w:p>
        </w:tc>
      </w:tr>
      <w:tr w:rsidR="003F783F" w:rsidRPr="00627DA0" w14:paraId="2128F980" w14:textId="77777777" w:rsidTr="009307AA">
        <w:trPr>
          <w:trHeight w:val="2340"/>
        </w:trPr>
        <w:tc>
          <w:tcPr>
            <w:tcW w:w="2630" w:type="dxa"/>
          </w:tcPr>
          <w:p w14:paraId="063D4CDD" w14:textId="74E16A75" w:rsidR="003F783F" w:rsidRPr="00627DA0" w:rsidRDefault="003F783F" w:rsidP="00BE085B">
            <w:pPr>
              <w:jc w:val="left"/>
              <w:rPr>
                <w:i/>
                <w:iCs/>
              </w:rPr>
            </w:pPr>
            <w:r w:rsidRPr="00627DA0">
              <w:rPr>
                <w:i/>
                <w:iCs/>
              </w:rPr>
              <w:t>Total Resource Cost (TRC) Test</w:t>
            </w:r>
          </w:p>
        </w:tc>
        <w:tc>
          <w:tcPr>
            <w:tcW w:w="6794" w:type="dxa"/>
          </w:tcPr>
          <w:p w14:paraId="78BA6105" w14:textId="66A3F2D5" w:rsidR="003F783F" w:rsidRPr="00627DA0" w:rsidRDefault="003F783F" w:rsidP="00BE085B">
            <w:pPr>
              <w:jc w:val="left"/>
            </w:pPr>
            <w:r w:rsidRPr="00627DA0">
              <w:t xml:space="preserve">A test for cost-effectiveness </w:t>
            </w:r>
            <w:r w:rsidR="003C4A4E" w:rsidRPr="00627DA0">
              <w:t xml:space="preserve">that considers all costs and benefits, regardless of </w:t>
            </w:r>
            <w:r w:rsidR="0051670A" w:rsidRPr="00627DA0">
              <w:t xml:space="preserve">who they accrue to. </w:t>
            </w:r>
            <w:r w:rsidR="000E3285" w:rsidRPr="00627DA0">
              <w:t>A measure passes this test if the present value of all benefits exceeds the pre</w:t>
            </w:r>
            <w:r w:rsidR="007D2F23" w:rsidRPr="00627DA0">
              <w:t>s</w:t>
            </w:r>
            <w:r w:rsidR="000E3285" w:rsidRPr="00627DA0">
              <w:t xml:space="preserve">ent value of all costs. </w:t>
            </w:r>
            <w:r w:rsidR="004164D8" w:rsidRPr="00627DA0">
              <w:t xml:space="preserve">The TRC test is required by Washington’s Energy Independence act and is the predominant cost effectiveness test used </w:t>
            </w:r>
            <w:r w:rsidR="000E3285" w:rsidRPr="00627DA0">
              <w:t>throughout the Northwest and US.</w:t>
            </w:r>
          </w:p>
        </w:tc>
      </w:tr>
    </w:tbl>
    <w:p w14:paraId="3EF9E315" w14:textId="7A86CE77" w:rsidR="001433A0" w:rsidRPr="00627DA0" w:rsidRDefault="001433A0" w:rsidP="008B1C4A"/>
    <w:p w14:paraId="1B229050" w14:textId="56AD7AD0" w:rsidR="00A04667" w:rsidRPr="00627DA0" w:rsidRDefault="00A04667">
      <w:r w:rsidRPr="00627DA0">
        <w:br w:type="page"/>
      </w:r>
    </w:p>
    <w:p w14:paraId="584D5826" w14:textId="2B3D74F5" w:rsidR="001433A0" w:rsidRPr="00627DA0" w:rsidRDefault="002311C6" w:rsidP="002311C6">
      <w:pPr>
        <w:pStyle w:val="Heading1"/>
      </w:pPr>
      <w:bookmarkStart w:id="133" w:name="_Ref49154245"/>
      <w:bookmarkStart w:id="134" w:name="_Toc207870686"/>
      <w:r w:rsidRPr="00627DA0">
        <w:lastRenderedPageBreak/>
        <w:t>Appendix III: Compliance with State Requirements</w:t>
      </w:r>
      <w:bookmarkEnd w:id="133"/>
      <w:bookmarkEnd w:id="134"/>
    </w:p>
    <w:p w14:paraId="2301747A" w14:textId="6AC30907" w:rsidR="008120CB" w:rsidRPr="00627DA0" w:rsidRDefault="00C83F7A" w:rsidP="0051699E">
      <w:r w:rsidRPr="00627DA0">
        <w:t xml:space="preserve">This Appendix details the specific requirements for Conservation Potential Assessments </w:t>
      </w:r>
      <w:r w:rsidR="008120CB" w:rsidRPr="00627DA0">
        <w:t>listed in WAC 194-37-0</w:t>
      </w:r>
      <w:r w:rsidR="00FD64A1" w:rsidRPr="00627DA0">
        <w:t>7</w:t>
      </w:r>
      <w:r w:rsidR="008120CB" w:rsidRPr="00627DA0">
        <w:t>0. The table below lists the specific section</w:t>
      </w:r>
      <w:r w:rsidR="00E550A8" w:rsidRPr="00627DA0">
        <w:t xml:space="preserve"> and corresponding requirement along with a description of how the requirement is implemented in the model and where the implementation can be found.</w:t>
      </w:r>
    </w:p>
    <w:p w14:paraId="07D9EBA2" w14:textId="2B1284E8" w:rsidR="008F6008" w:rsidRPr="00627DA0" w:rsidRDefault="00BE0814" w:rsidP="00BE0814">
      <w:pPr>
        <w:pStyle w:val="Caption"/>
      </w:pPr>
      <w:bookmarkStart w:id="135" w:name="_Toc207870741"/>
      <w:r w:rsidRPr="00627DA0">
        <w:t xml:space="preserve">Table </w:t>
      </w:r>
      <w:fldSimple w:instr=" SEQ Table \* ARABIC ">
        <w:r w:rsidR="00431297" w:rsidRPr="00627DA0">
          <w:t>12</w:t>
        </w:r>
      </w:fldSimple>
      <w:r w:rsidRPr="00627DA0">
        <w:t>: CPA Compliance</w:t>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870"/>
        <w:gridCol w:w="4220"/>
      </w:tblGrid>
      <w:tr w:rsidR="0051699E" w:rsidRPr="00627DA0" w14:paraId="3872B803" w14:textId="77777777" w:rsidTr="00220142">
        <w:trPr>
          <w:tblHeader/>
        </w:trPr>
        <w:tc>
          <w:tcPr>
            <w:tcW w:w="1260" w:type="dxa"/>
            <w:tcBorders>
              <w:top w:val="single" w:sz="12" w:space="0" w:color="auto"/>
              <w:bottom w:val="single" w:sz="12" w:space="0" w:color="auto"/>
            </w:tcBorders>
            <w:shd w:val="clear" w:color="auto" w:fill="00205C" w:themeFill="accent1" w:themeFillShade="BF"/>
            <w:vAlign w:val="center"/>
          </w:tcPr>
          <w:p w14:paraId="659446E4" w14:textId="081F0C45" w:rsidR="0017288F" w:rsidRPr="00627DA0" w:rsidRDefault="006813E2" w:rsidP="008F6008">
            <w:pPr>
              <w:jc w:val="center"/>
              <w:rPr>
                <w:rFonts w:cs="Calibri Light"/>
                <w:b/>
                <w:bCs/>
                <w:sz w:val="20"/>
                <w:szCs w:val="20"/>
              </w:rPr>
            </w:pPr>
            <w:r w:rsidRPr="00627DA0">
              <w:rPr>
                <w:rFonts w:cs="Calibri Light"/>
                <w:b/>
                <w:bCs/>
                <w:sz w:val="20"/>
                <w:szCs w:val="20"/>
              </w:rPr>
              <w:t>WAC</w:t>
            </w:r>
          </w:p>
          <w:p w14:paraId="000628FA" w14:textId="07A8998D" w:rsidR="0051699E" w:rsidRPr="00627DA0" w:rsidRDefault="003026BD" w:rsidP="008F6008">
            <w:pPr>
              <w:jc w:val="center"/>
              <w:rPr>
                <w:rFonts w:cs="Calibri Light"/>
                <w:b/>
                <w:bCs/>
                <w:sz w:val="20"/>
                <w:szCs w:val="20"/>
              </w:rPr>
            </w:pPr>
            <w:r w:rsidRPr="00627DA0">
              <w:rPr>
                <w:rFonts w:cs="Calibri Light"/>
                <w:b/>
                <w:bCs/>
                <w:sz w:val="20"/>
                <w:szCs w:val="20"/>
              </w:rPr>
              <w:t>194-37-0</w:t>
            </w:r>
            <w:r w:rsidR="00FD64A1" w:rsidRPr="00627DA0">
              <w:rPr>
                <w:rFonts w:cs="Calibri Light"/>
                <w:b/>
                <w:bCs/>
                <w:sz w:val="20"/>
                <w:szCs w:val="20"/>
              </w:rPr>
              <w:t>7</w:t>
            </w:r>
            <w:r w:rsidRPr="00627DA0">
              <w:rPr>
                <w:rFonts w:cs="Calibri Light"/>
                <w:b/>
                <w:bCs/>
                <w:sz w:val="20"/>
                <w:szCs w:val="20"/>
              </w:rPr>
              <w:t>0</w:t>
            </w:r>
          </w:p>
          <w:p w14:paraId="48C50F58" w14:textId="1B02E81A" w:rsidR="003026BD" w:rsidRPr="00627DA0" w:rsidRDefault="003026BD" w:rsidP="008F6008">
            <w:pPr>
              <w:jc w:val="center"/>
              <w:rPr>
                <w:rFonts w:cs="Calibri Light"/>
                <w:sz w:val="20"/>
                <w:szCs w:val="20"/>
              </w:rPr>
            </w:pPr>
            <w:r w:rsidRPr="00627DA0">
              <w:rPr>
                <w:rFonts w:cs="Calibri Light"/>
                <w:b/>
                <w:bCs/>
                <w:sz w:val="20"/>
                <w:szCs w:val="20"/>
              </w:rPr>
              <w:t>Section</w:t>
            </w:r>
          </w:p>
        </w:tc>
        <w:tc>
          <w:tcPr>
            <w:tcW w:w="3870" w:type="dxa"/>
            <w:tcBorders>
              <w:top w:val="single" w:sz="12" w:space="0" w:color="auto"/>
              <w:bottom w:val="single" w:sz="12" w:space="0" w:color="auto"/>
            </w:tcBorders>
            <w:shd w:val="clear" w:color="auto" w:fill="00205C" w:themeFill="accent1" w:themeFillShade="BF"/>
            <w:vAlign w:val="center"/>
          </w:tcPr>
          <w:p w14:paraId="4AEA7A56" w14:textId="06B48D1A" w:rsidR="0051699E" w:rsidRPr="00627DA0" w:rsidRDefault="00C54694" w:rsidP="008F6008">
            <w:pPr>
              <w:jc w:val="center"/>
              <w:rPr>
                <w:rFonts w:cs="Calibri Light"/>
                <w:b/>
                <w:bCs/>
                <w:sz w:val="20"/>
                <w:szCs w:val="20"/>
              </w:rPr>
            </w:pPr>
            <w:r w:rsidRPr="00627DA0">
              <w:rPr>
                <w:rFonts w:cs="Calibri Light"/>
                <w:b/>
                <w:bCs/>
                <w:sz w:val="20"/>
                <w:szCs w:val="20"/>
              </w:rPr>
              <w:t>Requirement</w:t>
            </w:r>
          </w:p>
        </w:tc>
        <w:tc>
          <w:tcPr>
            <w:tcW w:w="4220" w:type="dxa"/>
            <w:tcBorders>
              <w:top w:val="single" w:sz="12" w:space="0" w:color="auto"/>
              <w:bottom w:val="single" w:sz="12" w:space="0" w:color="auto"/>
            </w:tcBorders>
            <w:shd w:val="clear" w:color="auto" w:fill="00205C" w:themeFill="accent1" w:themeFillShade="BF"/>
            <w:vAlign w:val="center"/>
          </w:tcPr>
          <w:p w14:paraId="20640724" w14:textId="4E442E8F" w:rsidR="0051699E" w:rsidRPr="00627DA0" w:rsidRDefault="00C54694" w:rsidP="008F6008">
            <w:pPr>
              <w:jc w:val="center"/>
              <w:rPr>
                <w:rFonts w:cs="Calibri Light"/>
                <w:b/>
                <w:bCs/>
                <w:sz w:val="20"/>
                <w:szCs w:val="20"/>
              </w:rPr>
            </w:pPr>
            <w:r w:rsidRPr="00627DA0">
              <w:rPr>
                <w:rFonts w:cs="Calibri Light"/>
                <w:b/>
                <w:bCs/>
                <w:sz w:val="20"/>
                <w:szCs w:val="20"/>
              </w:rPr>
              <w:t>Implementation</w:t>
            </w:r>
          </w:p>
        </w:tc>
      </w:tr>
      <w:tr w:rsidR="0051699E" w:rsidRPr="00627DA0" w14:paraId="6FFFA35C" w14:textId="77777777" w:rsidTr="00220142">
        <w:tc>
          <w:tcPr>
            <w:tcW w:w="1260" w:type="dxa"/>
            <w:tcBorders>
              <w:top w:val="single" w:sz="12" w:space="0" w:color="auto"/>
            </w:tcBorders>
            <w:shd w:val="clear" w:color="auto" w:fill="F2F2F2" w:themeFill="background1" w:themeFillShade="F2"/>
          </w:tcPr>
          <w:p w14:paraId="240A0CF4" w14:textId="111A0070" w:rsidR="0051699E" w:rsidRPr="00627DA0" w:rsidRDefault="00472BA3" w:rsidP="00F6151C">
            <w:pPr>
              <w:jc w:val="center"/>
              <w:rPr>
                <w:rFonts w:cs="Calibri Light"/>
                <w:sz w:val="20"/>
                <w:szCs w:val="20"/>
              </w:rPr>
            </w:pPr>
            <w:r w:rsidRPr="00627DA0">
              <w:rPr>
                <w:rFonts w:cs="Calibri Light"/>
                <w:sz w:val="20"/>
                <w:szCs w:val="20"/>
              </w:rPr>
              <w:t>(5)(a)</w:t>
            </w:r>
          </w:p>
        </w:tc>
        <w:tc>
          <w:tcPr>
            <w:tcW w:w="3870" w:type="dxa"/>
            <w:tcBorders>
              <w:top w:val="single" w:sz="12" w:space="0" w:color="auto"/>
            </w:tcBorders>
            <w:shd w:val="clear" w:color="auto" w:fill="F2F2F2" w:themeFill="background1" w:themeFillShade="F2"/>
          </w:tcPr>
          <w:p w14:paraId="309FB985" w14:textId="6657E984" w:rsidR="0051699E" w:rsidRPr="00627DA0" w:rsidRDefault="0017288F" w:rsidP="0017288F">
            <w:pPr>
              <w:jc w:val="left"/>
              <w:rPr>
                <w:rFonts w:cs="Calibri Light"/>
                <w:sz w:val="20"/>
                <w:szCs w:val="20"/>
              </w:rPr>
            </w:pPr>
            <w:r w:rsidRPr="00627DA0">
              <w:rPr>
                <w:rFonts w:cs="Calibri Light"/>
                <w:b/>
                <w:bCs/>
                <w:sz w:val="20"/>
                <w:szCs w:val="20"/>
              </w:rPr>
              <w:t>Technical potential.</w:t>
            </w:r>
            <w:r w:rsidRPr="00627DA0">
              <w:rPr>
                <w:rFonts w:cs="Calibri Light"/>
                <w:sz w:val="20"/>
                <w:szCs w:val="20"/>
              </w:rPr>
              <w:t xml:space="preserve"> Determine the amount of conservation that is technically feasible, considering measures and the number of these measures that could physically be installed or implemented, without regard to achievability or cost.</w:t>
            </w:r>
          </w:p>
        </w:tc>
        <w:tc>
          <w:tcPr>
            <w:tcW w:w="4220" w:type="dxa"/>
            <w:tcBorders>
              <w:top w:val="single" w:sz="12" w:space="0" w:color="auto"/>
            </w:tcBorders>
            <w:shd w:val="clear" w:color="auto" w:fill="F2F2F2" w:themeFill="background1" w:themeFillShade="F2"/>
          </w:tcPr>
          <w:p w14:paraId="3A8D2348" w14:textId="1304B376" w:rsidR="0051699E" w:rsidRPr="00627DA0" w:rsidRDefault="00FA1044" w:rsidP="0017288F">
            <w:pPr>
              <w:jc w:val="left"/>
              <w:rPr>
                <w:rFonts w:cs="Calibri Light"/>
                <w:sz w:val="20"/>
                <w:szCs w:val="20"/>
              </w:rPr>
            </w:pPr>
            <w:r w:rsidRPr="00627DA0">
              <w:rPr>
                <w:rFonts w:cs="Calibri Light"/>
                <w:sz w:val="20"/>
                <w:szCs w:val="20"/>
              </w:rPr>
              <w:t xml:space="preserve">The model calculates technical potential by multiplying the </w:t>
            </w:r>
            <w:r w:rsidR="003C607B" w:rsidRPr="00627DA0">
              <w:rPr>
                <w:rFonts w:cs="Calibri Light"/>
                <w:sz w:val="20"/>
                <w:szCs w:val="20"/>
              </w:rPr>
              <w:t>quantity of stock (number of homes, building floor area, industrial load)</w:t>
            </w:r>
            <w:r w:rsidR="00BD4D56" w:rsidRPr="00627DA0">
              <w:rPr>
                <w:rFonts w:cs="Calibri Light"/>
                <w:sz w:val="20"/>
                <w:szCs w:val="20"/>
              </w:rPr>
              <w:t xml:space="preserve"> by the measure</w:t>
            </w:r>
            <w:r w:rsidR="004D0DE2" w:rsidRPr="00627DA0">
              <w:rPr>
                <w:rFonts w:cs="Calibri Light"/>
                <w:sz w:val="20"/>
                <w:szCs w:val="20"/>
              </w:rPr>
              <w:t xml:space="preserve"> </w:t>
            </w:r>
            <w:r w:rsidR="00BD4D56" w:rsidRPr="00627DA0">
              <w:rPr>
                <w:rFonts w:cs="Calibri Light"/>
                <w:sz w:val="20"/>
                <w:szCs w:val="20"/>
              </w:rPr>
              <w:t>s</w:t>
            </w:r>
            <w:r w:rsidR="004D0DE2" w:rsidRPr="00627DA0">
              <w:rPr>
                <w:rFonts w:cs="Calibri Light"/>
                <w:sz w:val="20"/>
                <w:szCs w:val="20"/>
              </w:rPr>
              <w:t>avings</w:t>
            </w:r>
            <w:r w:rsidR="00BD4D56" w:rsidRPr="00627DA0">
              <w:rPr>
                <w:rFonts w:cs="Calibri Light"/>
                <w:sz w:val="20"/>
                <w:szCs w:val="20"/>
              </w:rPr>
              <w:t xml:space="preserve"> that</w:t>
            </w:r>
            <w:r w:rsidR="00B4771A" w:rsidRPr="00627DA0">
              <w:rPr>
                <w:rFonts w:cs="Calibri Light"/>
                <w:sz w:val="20"/>
                <w:szCs w:val="20"/>
              </w:rPr>
              <w:t xml:space="preserve"> could</w:t>
            </w:r>
            <w:r w:rsidR="00BD4D56" w:rsidRPr="00627DA0">
              <w:rPr>
                <w:rFonts w:cs="Calibri Light"/>
                <w:sz w:val="20"/>
                <w:szCs w:val="20"/>
              </w:rPr>
              <w:t xml:space="preserve"> be installed per each unit of stock. T</w:t>
            </w:r>
            <w:r w:rsidR="00321171" w:rsidRPr="00627DA0">
              <w:rPr>
                <w:rFonts w:cs="Calibri Light"/>
                <w:sz w:val="20"/>
                <w:szCs w:val="20"/>
              </w:rPr>
              <w:t xml:space="preserve">he model further constrains the potential by the share of measures that have already been completed. </w:t>
            </w:r>
          </w:p>
          <w:p w14:paraId="70C0BD84" w14:textId="77777777" w:rsidR="00A02755" w:rsidRPr="00627DA0" w:rsidRDefault="00A02755" w:rsidP="0017288F">
            <w:pPr>
              <w:jc w:val="left"/>
              <w:rPr>
                <w:rFonts w:cs="Calibri Light"/>
                <w:sz w:val="20"/>
                <w:szCs w:val="20"/>
              </w:rPr>
            </w:pPr>
          </w:p>
          <w:p w14:paraId="7EC8A38C" w14:textId="32D4C94C" w:rsidR="001C6067" w:rsidRPr="00627DA0" w:rsidRDefault="001C6067" w:rsidP="0017288F">
            <w:pPr>
              <w:jc w:val="left"/>
              <w:rPr>
                <w:rFonts w:cs="Calibri Light"/>
                <w:sz w:val="20"/>
                <w:szCs w:val="20"/>
              </w:rPr>
            </w:pPr>
            <w:r w:rsidRPr="00627DA0">
              <w:rPr>
                <w:rFonts w:cs="Calibri Light"/>
                <w:sz w:val="20"/>
                <w:szCs w:val="20"/>
              </w:rPr>
              <w:t xml:space="preserve">See calculations </w:t>
            </w:r>
            <w:r w:rsidR="00A02755" w:rsidRPr="00627DA0">
              <w:rPr>
                <w:rFonts w:cs="Calibri Light"/>
                <w:sz w:val="20"/>
                <w:szCs w:val="20"/>
              </w:rPr>
              <w:t xml:space="preserve">in </w:t>
            </w:r>
            <w:r w:rsidR="00F05630" w:rsidRPr="00627DA0">
              <w:rPr>
                <w:rFonts w:cs="Calibri Light"/>
                <w:sz w:val="20"/>
                <w:szCs w:val="20"/>
              </w:rPr>
              <w:t xml:space="preserve">the </w:t>
            </w:r>
            <w:r w:rsidRPr="00627DA0">
              <w:rPr>
                <w:rFonts w:cs="Calibri Light"/>
                <w:sz w:val="20"/>
                <w:szCs w:val="20"/>
              </w:rPr>
              <w:t>“</w:t>
            </w:r>
            <w:r w:rsidR="0061190A" w:rsidRPr="00627DA0">
              <w:rPr>
                <w:rFonts w:cs="Calibri Light"/>
                <w:sz w:val="20"/>
                <w:szCs w:val="20"/>
              </w:rPr>
              <w:t>Units</w:t>
            </w:r>
            <w:r w:rsidR="00A02755" w:rsidRPr="00627DA0">
              <w:rPr>
                <w:rFonts w:cs="Calibri Light"/>
                <w:sz w:val="20"/>
                <w:szCs w:val="20"/>
              </w:rPr>
              <w:t xml:space="preserve">” tabs within </w:t>
            </w:r>
            <w:r w:rsidR="004E235A" w:rsidRPr="00627DA0">
              <w:rPr>
                <w:rFonts w:cs="Calibri Light"/>
                <w:sz w:val="20"/>
                <w:szCs w:val="20"/>
              </w:rPr>
              <w:t xml:space="preserve">each of the </w:t>
            </w:r>
            <w:r w:rsidR="00FD7574" w:rsidRPr="00627DA0">
              <w:rPr>
                <w:rFonts w:cs="Calibri Light"/>
                <w:sz w:val="20"/>
                <w:szCs w:val="20"/>
              </w:rPr>
              <w:t xml:space="preserve">sector </w:t>
            </w:r>
            <w:r w:rsidR="00A02755" w:rsidRPr="00627DA0">
              <w:rPr>
                <w:rFonts w:cs="Calibri Light"/>
                <w:sz w:val="20"/>
                <w:szCs w:val="20"/>
              </w:rPr>
              <w:t>model</w:t>
            </w:r>
            <w:r w:rsidR="00FD7574" w:rsidRPr="00627DA0">
              <w:rPr>
                <w:rFonts w:cs="Calibri Light"/>
                <w:sz w:val="20"/>
                <w:szCs w:val="20"/>
              </w:rPr>
              <w:t xml:space="preserve"> files</w:t>
            </w:r>
            <w:r w:rsidR="00A02755" w:rsidRPr="00627DA0">
              <w:rPr>
                <w:rFonts w:cs="Calibri Light"/>
                <w:sz w:val="20"/>
                <w:szCs w:val="20"/>
              </w:rPr>
              <w:t>.</w:t>
            </w:r>
          </w:p>
          <w:p w14:paraId="7A9CE4BA" w14:textId="4F83650E" w:rsidR="00EF0502" w:rsidRPr="00627DA0" w:rsidRDefault="00EF0502" w:rsidP="0017288F">
            <w:pPr>
              <w:jc w:val="left"/>
              <w:rPr>
                <w:rFonts w:cs="Calibri Light"/>
                <w:sz w:val="20"/>
                <w:szCs w:val="20"/>
              </w:rPr>
            </w:pPr>
          </w:p>
        </w:tc>
      </w:tr>
      <w:tr w:rsidR="0051699E" w:rsidRPr="00627DA0" w14:paraId="1FD8E96E" w14:textId="77777777" w:rsidTr="00B147AB">
        <w:tc>
          <w:tcPr>
            <w:tcW w:w="1260" w:type="dxa"/>
          </w:tcPr>
          <w:p w14:paraId="3D2B00ED" w14:textId="50759AD1" w:rsidR="0051699E" w:rsidRPr="00627DA0" w:rsidRDefault="0066613F" w:rsidP="00F6151C">
            <w:pPr>
              <w:jc w:val="center"/>
              <w:rPr>
                <w:rFonts w:cs="Calibri Light"/>
                <w:sz w:val="20"/>
                <w:szCs w:val="20"/>
              </w:rPr>
            </w:pPr>
            <w:r w:rsidRPr="00627DA0">
              <w:rPr>
                <w:rFonts w:cs="Calibri Light"/>
                <w:sz w:val="20"/>
                <w:szCs w:val="20"/>
              </w:rPr>
              <w:t>(5)(b)</w:t>
            </w:r>
          </w:p>
        </w:tc>
        <w:tc>
          <w:tcPr>
            <w:tcW w:w="3870" w:type="dxa"/>
          </w:tcPr>
          <w:p w14:paraId="35CF4B5B" w14:textId="73675FB1" w:rsidR="0051699E" w:rsidRPr="00627DA0" w:rsidRDefault="004E6631" w:rsidP="0017288F">
            <w:pPr>
              <w:jc w:val="left"/>
              <w:rPr>
                <w:rFonts w:cs="Calibri Light"/>
                <w:sz w:val="20"/>
                <w:szCs w:val="20"/>
              </w:rPr>
            </w:pPr>
            <w:r w:rsidRPr="00627DA0">
              <w:rPr>
                <w:rFonts w:cs="Calibri Light"/>
                <w:b/>
                <w:bCs/>
                <w:sz w:val="20"/>
                <w:szCs w:val="20"/>
              </w:rPr>
              <w:t>Achievable technical potential</w:t>
            </w:r>
            <w:r w:rsidRPr="00627DA0">
              <w:rPr>
                <w:rFonts w:cs="Calibri Light"/>
                <w:sz w:val="20"/>
                <w:szCs w:val="20"/>
              </w:rPr>
              <w:t>. Determine the amount of the conservation technical potential that is available within the planning period, considering barriers to market penetration and the rate at which savings could be acquired.</w:t>
            </w:r>
          </w:p>
        </w:tc>
        <w:tc>
          <w:tcPr>
            <w:tcW w:w="4220" w:type="dxa"/>
          </w:tcPr>
          <w:p w14:paraId="03580B90" w14:textId="695B2B5A" w:rsidR="0051699E" w:rsidRPr="00627DA0" w:rsidRDefault="00F512D1" w:rsidP="0017288F">
            <w:pPr>
              <w:jc w:val="left"/>
              <w:rPr>
                <w:rFonts w:cs="Calibri Light"/>
                <w:sz w:val="20"/>
                <w:szCs w:val="20"/>
              </w:rPr>
            </w:pPr>
            <w:r w:rsidRPr="00627DA0">
              <w:rPr>
                <w:rFonts w:cs="Calibri Light"/>
                <w:sz w:val="20"/>
                <w:szCs w:val="20"/>
              </w:rPr>
              <w:t xml:space="preserve">The model </w:t>
            </w:r>
            <w:r w:rsidR="00187F23" w:rsidRPr="00627DA0">
              <w:rPr>
                <w:rFonts w:cs="Calibri Light"/>
                <w:sz w:val="20"/>
                <w:szCs w:val="20"/>
              </w:rPr>
              <w:t>applie</w:t>
            </w:r>
            <w:r w:rsidRPr="00627DA0">
              <w:rPr>
                <w:rFonts w:cs="Calibri Light"/>
                <w:sz w:val="20"/>
                <w:szCs w:val="20"/>
              </w:rPr>
              <w:t xml:space="preserve">s maximum achievability factors </w:t>
            </w:r>
            <w:r w:rsidR="00FD7574" w:rsidRPr="00627DA0">
              <w:rPr>
                <w:rFonts w:cs="Calibri Light"/>
                <w:sz w:val="20"/>
                <w:szCs w:val="20"/>
              </w:rPr>
              <w:t>based on the Council’s 2021 Power Plan assumptions</w:t>
            </w:r>
            <w:r w:rsidR="00187F23" w:rsidRPr="00627DA0">
              <w:rPr>
                <w:rFonts w:cs="Calibri Light"/>
                <w:sz w:val="20"/>
                <w:szCs w:val="20"/>
              </w:rPr>
              <w:t xml:space="preserve"> and ramp rates to identify how the potential can be acquired over the study period.</w:t>
            </w:r>
          </w:p>
          <w:p w14:paraId="26F8AC25" w14:textId="77777777" w:rsidR="00187F23" w:rsidRPr="00627DA0" w:rsidRDefault="00187F23" w:rsidP="0017288F">
            <w:pPr>
              <w:jc w:val="left"/>
              <w:rPr>
                <w:rFonts w:cs="Calibri Light"/>
                <w:sz w:val="20"/>
                <w:szCs w:val="20"/>
              </w:rPr>
            </w:pPr>
          </w:p>
          <w:p w14:paraId="555B931A" w14:textId="30B866DB" w:rsidR="00187F23" w:rsidRPr="00627DA0" w:rsidRDefault="00187F23" w:rsidP="0017288F">
            <w:pPr>
              <w:jc w:val="left"/>
              <w:rPr>
                <w:rFonts w:cs="Calibri Light"/>
                <w:sz w:val="20"/>
                <w:szCs w:val="20"/>
              </w:rPr>
            </w:pPr>
            <w:r w:rsidRPr="00627DA0">
              <w:rPr>
                <w:rFonts w:cs="Calibri Light"/>
                <w:sz w:val="20"/>
                <w:szCs w:val="20"/>
              </w:rPr>
              <w:t xml:space="preserve">See calculations in </w:t>
            </w:r>
            <w:r w:rsidR="00F05630" w:rsidRPr="00627DA0">
              <w:rPr>
                <w:rFonts w:cs="Calibri Light"/>
                <w:sz w:val="20"/>
                <w:szCs w:val="20"/>
              </w:rPr>
              <w:t>the “Units</w:t>
            </w:r>
            <w:r w:rsidRPr="00627DA0">
              <w:rPr>
                <w:rFonts w:cs="Calibri Light"/>
                <w:sz w:val="20"/>
                <w:szCs w:val="20"/>
              </w:rPr>
              <w:t xml:space="preserve">” tabs within </w:t>
            </w:r>
            <w:r w:rsidR="00F05630" w:rsidRPr="00627DA0">
              <w:rPr>
                <w:rFonts w:cs="Calibri Light"/>
                <w:sz w:val="20"/>
                <w:szCs w:val="20"/>
              </w:rPr>
              <w:t xml:space="preserve">each of the sector </w:t>
            </w:r>
            <w:r w:rsidRPr="00627DA0">
              <w:rPr>
                <w:rFonts w:cs="Calibri Light"/>
                <w:sz w:val="20"/>
                <w:szCs w:val="20"/>
              </w:rPr>
              <w:t>model</w:t>
            </w:r>
            <w:r w:rsidR="00F05630" w:rsidRPr="00627DA0">
              <w:rPr>
                <w:rFonts w:cs="Calibri Light"/>
                <w:sz w:val="20"/>
                <w:szCs w:val="20"/>
              </w:rPr>
              <w:t xml:space="preserve"> files</w:t>
            </w:r>
            <w:r w:rsidRPr="00627DA0">
              <w:rPr>
                <w:rFonts w:cs="Calibri Light"/>
                <w:sz w:val="20"/>
                <w:szCs w:val="20"/>
              </w:rPr>
              <w:t>.</w:t>
            </w:r>
            <w:r w:rsidR="001C1353" w:rsidRPr="00627DA0">
              <w:rPr>
                <w:rFonts w:cs="Calibri Light"/>
                <w:sz w:val="20"/>
                <w:szCs w:val="20"/>
              </w:rPr>
              <w:t xml:space="preserve"> </w:t>
            </w:r>
            <w:r w:rsidR="000D19AF" w:rsidRPr="00627DA0">
              <w:rPr>
                <w:rFonts w:cs="Calibri Light"/>
                <w:sz w:val="20"/>
                <w:szCs w:val="20"/>
              </w:rPr>
              <w:t>The</w:t>
            </w:r>
            <w:r w:rsidR="001C1353" w:rsidRPr="00627DA0">
              <w:rPr>
                <w:rFonts w:cs="Calibri Light"/>
                <w:sz w:val="20"/>
                <w:szCs w:val="20"/>
              </w:rPr>
              <w:t xml:space="preserve"> complete set of the ramp rates used is on the “Ramp Rates” tab.</w:t>
            </w:r>
          </w:p>
          <w:p w14:paraId="6C8AB1EE" w14:textId="3805E629" w:rsidR="00EF0502" w:rsidRPr="00627DA0" w:rsidRDefault="00EF0502" w:rsidP="0017288F">
            <w:pPr>
              <w:jc w:val="left"/>
              <w:rPr>
                <w:rFonts w:cs="Calibri Light"/>
                <w:sz w:val="20"/>
                <w:szCs w:val="20"/>
              </w:rPr>
            </w:pPr>
          </w:p>
        </w:tc>
      </w:tr>
      <w:tr w:rsidR="0051699E" w:rsidRPr="00627DA0" w14:paraId="3E485E95" w14:textId="77777777" w:rsidTr="00EF0502">
        <w:tc>
          <w:tcPr>
            <w:tcW w:w="1260" w:type="dxa"/>
            <w:shd w:val="clear" w:color="auto" w:fill="F2F2F2" w:themeFill="background1" w:themeFillShade="F2"/>
          </w:tcPr>
          <w:p w14:paraId="5F7FDF13" w14:textId="4739EABA" w:rsidR="0051699E" w:rsidRPr="00627DA0" w:rsidRDefault="0066613F" w:rsidP="00F6151C">
            <w:pPr>
              <w:jc w:val="center"/>
              <w:rPr>
                <w:rFonts w:cs="Calibri Light"/>
                <w:sz w:val="20"/>
                <w:szCs w:val="20"/>
              </w:rPr>
            </w:pPr>
            <w:r w:rsidRPr="00627DA0">
              <w:rPr>
                <w:rFonts w:cs="Calibri Light"/>
                <w:sz w:val="20"/>
                <w:szCs w:val="20"/>
              </w:rPr>
              <w:t>(5)(c)</w:t>
            </w:r>
          </w:p>
        </w:tc>
        <w:tc>
          <w:tcPr>
            <w:tcW w:w="3870" w:type="dxa"/>
            <w:shd w:val="clear" w:color="auto" w:fill="F2F2F2" w:themeFill="background1" w:themeFillShade="F2"/>
          </w:tcPr>
          <w:p w14:paraId="7F392913" w14:textId="77777777" w:rsidR="0051699E" w:rsidRPr="00627DA0" w:rsidRDefault="00A75E2E" w:rsidP="0017288F">
            <w:pPr>
              <w:jc w:val="left"/>
              <w:rPr>
                <w:rFonts w:cs="Calibri Light"/>
                <w:sz w:val="20"/>
                <w:szCs w:val="20"/>
              </w:rPr>
            </w:pPr>
            <w:r w:rsidRPr="00627DA0">
              <w:rPr>
                <w:rFonts w:cs="Calibri Light"/>
                <w:b/>
                <w:bCs/>
                <w:sz w:val="20"/>
                <w:szCs w:val="20"/>
              </w:rPr>
              <w:t>Economic achievable potential</w:t>
            </w:r>
            <w:r w:rsidRPr="00627DA0">
              <w:rPr>
                <w:rFonts w:cs="Calibri Light"/>
                <w:sz w:val="20"/>
                <w:szCs w:val="20"/>
              </w:rPr>
              <w:t>. Establish the economic achievable potential, which is the conservation potential that is cost-effective, reliable, and feasible, by comparing the total resource cost of conservation measures to the cost of other resources available to meet expected demand for electricity and capacity.</w:t>
            </w:r>
          </w:p>
          <w:p w14:paraId="479DCBFF" w14:textId="7C3B04EE" w:rsidR="00F6151C" w:rsidRPr="00627DA0" w:rsidRDefault="00F6151C" w:rsidP="0017288F">
            <w:pPr>
              <w:jc w:val="left"/>
              <w:rPr>
                <w:rFonts w:cs="Calibri Light"/>
                <w:sz w:val="20"/>
                <w:szCs w:val="20"/>
              </w:rPr>
            </w:pPr>
          </w:p>
        </w:tc>
        <w:tc>
          <w:tcPr>
            <w:tcW w:w="4220" w:type="dxa"/>
            <w:shd w:val="clear" w:color="auto" w:fill="F2F2F2" w:themeFill="background1" w:themeFillShade="F2"/>
          </w:tcPr>
          <w:p w14:paraId="66C2AB33" w14:textId="1C4C7070" w:rsidR="00F92B3B" w:rsidRPr="00627DA0" w:rsidRDefault="00F46894" w:rsidP="00F92B3B">
            <w:pPr>
              <w:jc w:val="left"/>
              <w:rPr>
                <w:rFonts w:cs="Calibri Light"/>
                <w:sz w:val="20"/>
                <w:szCs w:val="20"/>
              </w:rPr>
            </w:pPr>
            <w:r w:rsidRPr="00627DA0">
              <w:rPr>
                <w:rFonts w:cs="Calibri Light"/>
                <w:sz w:val="20"/>
                <w:szCs w:val="20"/>
              </w:rPr>
              <w:t xml:space="preserve">The project team </w:t>
            </w:r>
            <w:r w:rsidR="00A5030C" w:rsidRPr="00627DA0">
              <w:rPr>
                <w:rFonts w:cs="Calibri Light"/>
                <w:sz w:val="20"/>
                <w:szCs w:val="20"/>
              </w:rPr>
              <w:t>used</w:t>
            </w:r>
            <w:r w:rsidR="001A60BB" w:rsidRPr="00627DA0">
              <w:rPr>
                <w:rFonts w:cs="Calibri Light"/>
                <w:sz w:val="20"/>
                <w:szCs w:val="20"/>
              </w:rPr>
              <w:t xml:space="preserve"> the benefit</w:t>
            </w:r>
            <w:r w:rsidR="00A5030C" w:rsidRPr="00627DA0">
              <w:rPr>
                <w:rFonts w:cs="Calibri Light"/>
                <w:sz w:val="20"/>
                <w:szCs w:val="20"/>
              </w:rPr>
              <w:t xml:space="preserve">-cost ratio approach described in (5)(c)(ii), </w:t>
            </w:r>
            <w:r w:rsidR="00F92B3B" w:rsidRPr="00627DA0">
              <w:rPr>
                <w:rFonts w:cs="Calibri Light"/>
                <w:sz w:val="20"/>
                <w:szCs w:val="20"/>
              </w:rPr>
              <w:t>us</w:t>
            </w:r>
            <w:r w:rsidR="00A5030C" w:rsidRPr="00627DA0">
              <w:rPr>
                <w:rFonts w:cs="Calibri Light"/>
                <w:sz w:val="20"/>
                <w:szCs w:val="20"/>
              </w:rPr>
              <w:t>ing</w:t>
            </w:r>
            <w:r w:rsidR="00F92B3B" w:rsidRPr="00627DA0">
              <w:rPr>
                <w:rFonts w:cs="Calibri Light"/>
                <w:sz w:val="20"/>
                <w:szCs w:val="20"/>
              </w:rPr>
              <w:t xml:space="preserve"> the Council’s ProCost model to calculate TRC benefit-cost ratios for each measure after updating ProCost with utility-specific inputs. The ProCost results are collected through an Excel macro in the “ProCost Measure Results-[</w:t>
            </w:r>
            <w:r w:rsidR="00D21EE8" w:rsidRPr="00627DA0">
              <w:rPr>
                <w:rFonts w:cs="Calibri Light"/>
                <w:sz w:val="20"/>
                <w:szCs w:val="20"/>
              </w:rPr>
              <w:t>sensitivity</w:t>
            </w:r>
            <w:r w:rsidR="00F92B3B" w:rsidRPr="00627DA0">
              <w:rPr>
                <w:rFonts w:cs="Calibri Light"/>
                <w:sz w:val="20"/>
                <w:szCs w:val="20"/>
              </w:rPr>
              <w:t xml:space="preserve"> name].xlsx” files and brought into the CPA models through Excel’s Power Query.</w:t>
            </w:r>
          </w:p>
          <w:p w14:paraId="552EAE13" w14:textId="77777777" w:rsidR="00F92B3B" w:rsidRPr="00627DA0" w:rsidRDefault="00F92B3B" w:rsidP="00F92B3B">
            <w:pPr>
              <w:jc w:val="left"/>
              <w:rPr>
                <w:rFonts w:cs="Calibri Light"/>
                <w:sz w:val="20"/>
                <w:szCs w:val="20"/>
              </w:rPr>
            </w:pPr>
          </w:p>
          <w:p w14:paraId="4E53730A" w14:textId="77777777" w:rsidR="00697F5F" w:rsidRPr="00627DA0" w:rsidRDefault="00F92B3B" w:rsidP="0017288F">
            <w:pPr>
              <w:jc w:val="left"/>
              <w:rPr>
                <w:rFonts w:cs="Calibri Light"/>
                <w:sz w:val="20"/>
                <w:szCs w:val="20"/>
              </w:rPr>
            </w:pPr>
            <w:r w:rsidRPr="00627DA0">
              <w:rPr>
                <w:rFonts w:cs="Calibri Light"/>
                <w:sz w:val="20"/>
                <w:szCs w:val="20"/>
              </w:rPr>
              <w:t>See Appendix IV for further discussion of the avoided cost assumptions.</w:t>
            </w:r>
          </w:p>
          <w:p w14:paraId="0BA7C54A" w14:textId="426C701F" w:rsidR="00F92B3B" w:rsidRPr="00627DA0" w:rsidRDefault="00F92B3B" w:rsidP="0017288F">
            <w:pPr>
              <w:jc w:val="left"/>
              <w:rPr>
                <w:rFonts w:cs="Calibri Light"/>
                <w:sz w:val="20"/>
                <w:szCs w:val="20"/>
              </w:rPr>
            </w:pPr>
          </w:p>
        </w:tc>
      </w:tr>
      <w:tr w:rsidR="0051699E" w:rsidRPr="00627DA0" w14:paraId="6CAD15AC" w14:textId="77777777" w:rsidTr="00B147AB">
        <w:tc>
          <w:tcPr>
            <w:tcW w:w="1260" w:type="dxa"/>
          </w:tcPr>
          <w:p w14:paraId="79614488" w14:textId="39C771EE" w:rsidR="0051699E" w:rsidRPr="00627DA0" w:rsidRDefault="0066613F" w:rsidP="00F6151C">
            <w:pPr>
              <w:jc w:val="center"/>
              <w:rPr>
                <w:rFonts w:cs="Calibri Light"/>
                <w:sz w:val="20"/>
                <w:szCs w:val="20"/>
              </w:rPr>
            </w:pPr>
            <w:r w:rsidRPr="00627DA0">
              <w:rPr>
                <w:rFonts w:cs="Calibri Light"/>
                <w:sz w:val="20"/>
                <w:szCs w:val="20"/>
              </w:rPr>
              <w:t>(5)(</w:t>
            </w:r>
            <w:r w:rsidR="000F237F" w:rsidRPr="00627DA0">
              <w:rPr>
                <w:rFonts w:cs="Calibri Light"/>
                <w:sz w:val="20"/>
                <w:szCs w:val="20"/>
              </w:rPr>
              <w:t>d</w:t>
            </w:r>
            <w:r w:rsidRPr="00627DA0">
              <w:rPr>
                <w:rFonts w:cs="Calibri Light"/>
                <w:sz w:val="20"/>
                <w:szCs w:val="20"/>
              </w:rPr>
              <w:t>)</w:t>
            </w:r>
          </w:p>
        </w:tc>
        <w:tc>
          <w:tcPr>
            <w:tcW w:w="3870" w:type="dxa"/>
          </w:tcPr>
          <w:p w14:paraId="238EFD69" w14:textId="525208FC" w:rsidR="0051699E" w:rsidRPr="00627DA0" w:rsidRDefault="00B147AB" w:rsidP="0017288F">
            <w:pPr>
              <w:jc w:val="left"/>
              <w:rPr>
                <w:rFonts w:cs="Calibri Light"/>
                <w:sz w:val="20"/>
                <w:szCs w:val="20"/>
              </w:rPr>
            </w:pPr>
            <w:r w:rsidRPr="00627DA0">
              <w:rPr>
                <w:rFonts w:cs="Calibri Light"/>
                <w:b/>
                <w:bCs/>
                <w:sz w:val="20"/>
                <w:szCs w:val="20"/>
              </w:rPr>
              <w:t>Total resource cost</w:t>
            </w:r>
            <w:r w:rsidRPr="00627DA0">
              <w:rPr>
                <w:rFonts w:cs="Calibri Light"/>
                <w:sz w:val="20"/>
                <w:szCs w:val="20"/>
              </w:rPr>
              <w:t xml:space="preserve">. In determining economic achievable potential as provided in (c) of this subsection, perform a life-cycle cost analysis of measures or </w:t>
            </w:r>
            <w:r w:rsidRPr="00627DA0">
              <w:rPr>
                <w:rFonts w:cs="Calibri Light"/>
                <w:sz w:val="20"/>
                <w:szCs w:val="20"/>
              </w:rPr>
              <w:lastRenderedPageBreak/>
              <w:t>programs to determine the net levelized cost, as described in this subsection:</w:t>
            </w:r>
          </w:p>
        </w:tc>
        <w:tc>
          <w:tcPr>
            <w:tcW w:w="4220" w:type="dxa"/>
          </w:tcPr>
          <w:p w14:paraId="38483928" w14:textId="4659F1FF" w:rsidR="002A4F8C" w:rsidRPr="00627DA0" w:rsidRDefault="002A4F8C" w:rsidP="002A4F8C">
            <w:pPr>
              <w:jc w:val="left"/>
              <w:rPr>
                <w:rFonts w:cs="Calibri Light"/>
                <w:sz w:val="20"/>
                <w:szCs w:val="20"/>
              </w:rPr>
            </w:pPr>
            <w:r w:rsidRPr="00627DA0">
              <w:rPr>
                <w:rFonts w:cs="Calibri Light"/>
                <w:sz w:val="20"/>
                <w:szCs w:val="20"/>
              </w:rPr>
              <w:lastRenderedPageBreak/>
              <w:t xml:space="preserve">A life-cycle cost analysis was performed using the Council’s ProCost tool, which </w:t>
            </w:r>
            <w:r w:rsidR="004558A9" w:rsidRPr="00627DA0">
              <w:rPr>
                <w:rFonts w:cs="Calibri Light"/>
                <w:sz w:val="20"/>
                <w:szCs w:val="20"/>
              </w:rPr>
              <w:t xml:space="preserve">the project team </w:t>
            </w:r>
            <w:r w:rsidRPr="00627DA0">
              <w:rPr>
                <w:rFonts w:cs="Calibri Light"/>
                <w:sz w:val="20"/>
                <w:szCs w:val="20"/>
              </w:rPr>
              <w:t>configured with utility-specific inputs. Costs and benefits were included consistent with the TRC test.</w:t>
            </w:r>
          </w:p>
          <w:p w14:paraId="45C58A13" w14:textId="77777777" w:rsidR="002A4F8C" w:rsidRPr="00627DA0" w:rsidRDefault="002A4F8C" w:rsidP="002A4F8C">
            <w:pPr>
              <w:jc w:val="left"/>
              <w:rPr>
                <w:rFonts w:cs="Calibri Light"/>
                <w:sz w:val="20"/>
                <w:szCs w:val="20"/>
              </w:rPr>
            </w:pPr>
          </w:p>
          <w:p w14:paraId="126D170F" w14:textId="77777777" w:rsidR="00F6151C" w:rsidRPr="00627DA0" w:rsidRDefault="00BF0511" w:rsidP="001020BB">
            <w:pPr>
              <w:jc w:val="left"/>
              <w:rPr>
                <w:rFonts w:cs="Calibri Light"/>
                <w:sz w:val="20"/>
                <w:szCs w:val="20"/>
              </w:rPr>
            </w:pPr>
            <w:r w:rsidRPr="00627DA0">
              <w:rPr>
                <w:rFonts w:cs="Calibri Light"/>
                <w:sz w:val="20"/>
                <w:szCs w:val="20"/>
              </w:rPr>
              <w:t xml:space="preserve">The measure files within each sector contain the ProCost results. These results are then rolled up into the ProCost Measure Results file, which is linked to </w:t>
            </w:r>
            <w:r w:rsidR="005D0466" w:rsidRPr="00627DA0">
              <w:rPr>
                <w:rFonts w:cs="Calibri Light"/>
                <w:sz w:val="20"/>
                <w:szCs w:val="20"/>
              </w:rPr>
              <w:t>each sector model file.</w:t>
            </w:r>
          </w:p>
          <w:p w14:paraId="3F9C5D1E" w14:textId="28E91F93" w:rsidR="00743DAF" w:rsidRPr="00627DA0" w:rsidRDefault="00743DAF" w:rsidP="001020BB">
            <w:pPr>
              <w:jc w:val="left"/>
              <w:rPr>
                <w:rFonts w:cs="Calibri Light"/>
                <w:sz w:val="20"/>
                <w:szCs w:val="20"/>
              </w:rPr>
            </w:pPr>
          </w:p>
        </w:tc>
      </w:tr>
      <w:tr w:rsidR="0051699E" w:rsidRPr="00627DA0" w14:paraId="21C1AEFE" w14:textId="77777777" w:rsidTr="00F6151C">
        <w:tc>
          <w:tcPr>
            <w:tcW w:w="1260" w:type="dxa"/>
            <w:shd w:val="clear" w:color="auto" w:fill="F2F2F2" w:themeFill="background1" w:themeFillShade="F2"/>
          </w:tcPr>
          <w:p w14:paraId="04DD393F" w14:textId="21AB2168" w:rsidR="0051699E" w:rsidRPr="00627DA0" w:rsidRDefault="00BB1431" w:rsidP="00F6151C">
            <w:pPr>
              <w:jc w:val="center"/>
              <w:rPr>
                <w:rFonts w:cs="Calibri Light"/>
                <w:sz w:val="20"/>
                <w:szCs w:val="20"/>
              </w:rPr>
            </w:pPr>
            <w:r w:rsidRPr="00627DA0">
              <w:rPr>
                <w:rFonts w:cs="Calibri Light"/>
                <w:sz w:val="20"/>
                <w:szCs w:val="20"/>
              </w:rPr>
              <w:t>(5)(d)(i)</w:t>
            </w:r>
          </w:p>
        </w:tc>
        <w:tc>
          <w:tcPr>
            <w:tcW w:w="3870" w:type="dxa"/>
            <w:shd w:val="clear" w:color="auto" w:fill="F2F2F2" w:themeFill="background1" w:themeFillShade="F2"/>
          </w:tcPr>
          <w:p w14:paraId="35E9E234" w14:textId="6E5F3282" w:rsidR="0051699E" w:rsidRPr="00627DA0" w:rsidRDefault="000F237F" w:rsidP="0017288F">
            <w:pPr>
              <w:jc w:val="left"/>
              <w:rPr>
                <w:rFonts w:cs="Calibri Light"/>
                <w:sz w:val="20"/>
                <w:szCs w:val="20"/>
              </w:rPr>
            </w:pPr>
            <w:r w:rsidRPr="00627DA0">
              <w:rPr>
                <w:rFonts w:cs="Calibri Light"/>
                <w:sz w:val="20"/>
                <w:szCs w:val="20"/>
              </w:rPr>
              <w:t>Conduct a total resource cost analysis that assesses all costs and all benefits of conservation measures regardless of who pays the costs or receives the benefits;</w:t>
            </w:r>
          </w:p>
        </w:tc>
        <w:tc>
          <w:tcPr>
            <w:tcW w:w="4220" w:type="dxa"/>
            <w:shd w:val="clear" w:color="auto" w:fill="F2F2F2" w:themeFill="background1" w:themeFillShade="F2"/>
          </w:tcPr>
          <w:p w14:paraId="6F3FF61D" w14:textId="1812CC3C" w:rsidR="0051699E" w:rsidRPr="00627DA0" w:rsidRDefault="00583D19" w:rsidP="0017288F">
            <w:pPr>
              <w:jc w:val="left"/>
              <w:rPr>
                <w:rFonts w:cs="Calibri Light"/>
                <w:sz w:val="20"/>
                <w:szCs w:val="20"/>
              </w:rPr>
            </w:pPr>
            <w:r w:rsidRPr="00627DA0">
              <w:rPr>
                <w:rFonts w:cs="Calibri Light"/>
                <w:sz w:val="20"/>
                <w:szCs w:val="20"/>
              </w:rPr>
              <w:t xml:space="preserve">The </w:t>
            </w:r>
            <w:r w:rsidR="00C059C1" w:rsidRPr="00627DA0">
              <w:rPr>
                <w:rFonts w:cs="Calibri Light"/>
                <w:sz w:val="20"/>
                <w:szCs w:val="20"/>
              </w:rPr>
              <w:t xml:space="preserve">costs considered </w:t>
            </w:r>
            <w:r w:rsidR="00C44DC8" w:rsidRPr="00627DA0">
              <w:rPr>
                <w:rFonts w:cs="Calibri Light"/>
                <w:sz w:val="20"/>
                <w:szCs w:val="20"/>
              </w:rPr>
              <w:t xml:space="preserve">in the levelized cost </w:t>
            </w:r>
            <w:r w:rsidR="007F49FC" w:rsidRPr="00627DA0">
              <w:rPr>
                <w:rFonts w:cs="Calibri Light"/>
                <w:sz w:val="20"/>
                <w:szCs w:val="20"/>
              </w:rPr>
              <w:t>include</w:t>
            </w:r>
            <w:r w:rsidR="00B2468B" w:rsidRPr="00627DA0">
              <w:rPr>
                <w:rFonts w:cs="Calibri Light"/>
                <w:sz w:val="20"/>
                <w:szCs w:val="20"/>
              </w:rPr>
              <w:t xml:space="preserve"> measure capital costs, O&amp;M costs, periodic replacement costs</w:t>
            </w:r>
            <w:r w:rsidR="00FB3DBE" w:rsidRPr="00627DA0">
              <w:rPr>
                <w:rFonts w:cs="Calibri Light"/>
                <w:sz w:val="20"/>
                <w:szCs w:val="20"/>
              </w:rPr>
              <w:t xml:space="preserve">, and any non-energy costs. Benefits included avoided </w:t>
            </w:r>
            <w:r w:rsidR="003F115F" w:rsidRPr="00627DA0">
              <w:rPr>
                <w:rFonts w:cs="Calibri Light"/>
                <w:sz w:val="20"/>
                <w:szCs w:val="20"/>
              </w:rPr>
              <w:t xml:space="preserve">energy, </w:t>
            </w:r>
            <w:r w:rsidR="00241458" w:rsidRPr="00627DA0">
              <w:rPr>
                <w:rFonts w:cs="Calibri Light"/>
                <w:sz w:val="20"/>
                <w:szCs w:val="20"/>
              </w:rPr>
              <w:t xml:space="preserve">T&amp;D </w:t>
            </w:r>
            <w:r w:rsidR="006E33E9" w:rsidRPr="00627DA0">
              <w:rPr>
                <w:rFonts w:cs="Calibri Light"/>
                <w:sz w:val="20"/>
                <w:szCs w:val="20"/>
              </w:rPr>
              <w:t>capacity costs</w:t>
            </w:r>
            <w:r w:rsidR="00FB3DBE" w:rsidRPr="00627DA0">
              <w:rPr>
                <w:rFonts w:cs="Calibri Light"/>
                <w:sz w:val="20"/>
                <w:szCs w:val="20"/>
              </w:rPr>
              <w:t xml:space="preserve">, </w:t>
            </w:r>
            <w:r w:rsidR="004E6550" w:rsidRPr="00627DA0">
              <w:rPr>
                <w:rFonts w:cs="Calibri Light"/>
                <w:sz w:val="20"/>
                <w:szCs w:val="20"/>
              </w:rPr>
              <w:t xml:space="preserve">avoided generation capacity costs, </w:t>
            </w:r>
            <w:r w:rsidR="00FB3DBE" w:rsidRPr="00627DA0">
              <w:rPr>
                <w:rFonts w:cs="Calibri Light"/>
                <w:sz w:val="20"/>
                <w:szCs w:val="20"/>
              </w:rPr>
              <w:t>non-energy benefits, O&amp;M savings, periodic replacement costs</w:t>
            </w:r>
            <w:r w:rsidR="006E33E9" w:rsidRPr="00627DA0">
              <w:rPr>
                <w:rFonts w:cs="Calibri Light"/>
                <w:sz w:val="20"/>
                <w:szCs w:val="20"/>
              </w:rPr>
              <w:t>.</w:t>
            </w:r>
          </w:p>
          <w:p w14:paraId="1BA4CD24" w14:textId="77777777" w:rsidR="004B26A4" w:rsidRPr="00627DA0" w:rsidRDefault="004B26A4" w:rsidP="0017288F">
            <w:pPr>
              <w:jc w:val="left"/>
              <w:rPr>
                <w:rFonts w:cs="Calibri Light"/>
                <w:sz w:val="20"/>
                <w:szCs w:val="20"/>
              </w:rPr>
            </w:pPr>
          </w:p>
          <w:p w14:paraId="3593C9B2" w14:textId="4CE1FE13" w:rsidR="004B26A4" w:rsidRPr="00627DA0" w:rsidRDefault="004B26A4" w:rsidP="0017288F">
            <w:pPr>
              <w:jc w:val="left"/>
              <w:rPr>
                <w:rFonts w:cs="Calibri Light"/>
                <w:sz w:val="20"/>
                <w:szCs w:val="20"/>
              </w:rPr>
            </w:pPr>
            <w:r w:rsidRPr="00627DA0">
              <w:rPr>
                <w:rFonts w:cs="Calibri Light"/>
                <w:sz w:val="20"/>
                <w:szCs w:val="20"/>
              </w:rPr>
              <w:t>Measure costs and benefits can be found in the individual measure files as well as the “</w:t>
            </w:r>
            <w:r w:rsidR="00683860" w:rsidRPr="00627DA0">
              <w:rPr>
                <w:rFonts w:cs="Calibri Light"/>
                <w:sz w:val="20"/>
                <w:szCs w:val="20"/>
              </w:rPr>
              <w:t>ProCost Measure Results</w:t>
            </w:r>
            <w:r w:rsidRPr="00627DA0">
              <w:rPr>
                <w:rFonts w:cs="Calibri Light"/>
                <w:sz w:val="20"/>
                <w:szCs w:val="20"/>
              </w:rPr>
              <w:t>” file.</w:t>
            </w:r>
          </w:p>
          <w:p w14:paraId="6897C732" w14:textId="6B9E5E47" w:rsidR="00F6151C" w:rsidRPr="00627DA0" w:rsidRDefault="00F6151C" w:rsidP="0017288F">
            <w:pPr>
              <w:jc w:val="left"/>
              <w:rPr>
                <w:rFonts w:cs="Calibri Light"/>
                <w:sz w:val="20"/>
                <w:szCs w:val="20"/>
              </w:rPr>
            </w:pPr>
          </w:p>
        </w:tc>
      </w:tr>
      <w:tr w:rsidR="0051699E" w:rsidRPr="00627DA0" w14:paraId="3526648E" w14:textId="77777777" w:rsidTr="00B147AB">
        <w:tc>
          <w:tcPr>
            <w:tcW w:w="1260" w:type="dxa"/>
          </w:tcPr>
          <w:p w14:paraId="1E631A58" w14:textId="37396828" w:rsidR="0051699E" w:rsidRPr="00627DA0" w:rsidRDefault="00D4451D" w:rsidP="00F6151C">
            <w:pPr>
              <w:jc w:val="center"/>
              <w:rPr>
                <w:rFonts w:cs="Calibri Light"/>
                <w:sz w:val="20"/>
                <w:szCs w:val="20"/>
              </w:rPr>
            </w:pPr>
            <w:r w:rsidRPr="00627DA0">
              <w:rPr>
                <w:rFonts w:cs="Calibri Light"/>
                <w:sz w:val="20"/>
                <w:szCs w:val="20"/>
              </w:rPr>
              <w:t>(5)(d)(ii)</w:t>
            </w:r>
          </w:p>
        </w:tc>
        <w:tc>
          <w:tcPr>
            <w:tcW w:w="3870" w:type="dxa"/>
          </w:tcPr>
          <w:p w14:paraId="5AF6742A" w14:textId="12C8F0D9" w:rsidR="0051699E" w:rsidRPr="00627DA0" w:rsidRDefault="006570A5" w:rsidP="0017288F">
            <w:pPr>
              <w:jc w:val="left"/>
              <w:rPr>
                <w:rFonts w:cs="Calibri Light"/>
                <w:sz w:val="20"/>
                <w:szCs w:val="20"/>
              </w:rPr>
            </w:pPr>
            <w:r w:rsidRPr="00627DA0">
              <w:rPr>
                <w:rFonts w:cs="Calibri Light"/>
                <w:sz w:val="20"/>
                <w:szCs w:val="20"/>
              </w:rPr>
              <w:t>Include the incremental savings and incremental costs of measures and replacement measures where resources or measures have different measure lifetimes;</w:t>
            </w:r>
          </w:p>
        </w:tc>
        <w:tc>
          <w:tcPr>
            <w:tcW w:w="4220" w:type="dxa"/>
          </w:tcPr>
          <w:p w14:paraId="14D152B7" w14:textId="2AEBFC3C" w:rsidR="0051699E" w:rsidRPr="00627DA0" w:rsidRDefault="00A6219F" w:rsidP="0017288F">
            <w:pPr>
              <w:jc w:val="left"/>
              <w:rPr>
                <w:rFonts w:cs="Calibri Light"/>
                <w:sz w:val="20"/>
                <w:szCs w:val="20"/>
              </w:rPr>
            </w:pPr>
            <w:r w:rsidRPr="00627DA0">
              <w:rPr>
                <w:rFonts w:cs="Calibri Light"/>
                <w:sz w:val="20"/>
                <w:szCs w:val="20"/>
              </w:rPr>
              <w:t xml:space="preserve">Assumed savings, cost, and measure lifetimes are based on </w:t>
            </w:r>
            <w:r w:rsidR="00683860" w:rsidRPr="00627DA0">
              <w:rPr>
                <w:rFonts w:cs="Calibri Light"/>
                <w:sz w:val="20"/>
                <w:szCs w:val="20"/>
              </w:rPr>
              <w:t>2021 Power</w:t>
            </w:r>
            <w:r w:rsidRPr="00627DA0">
              <w:rPr>
                <w:rFonts w:cs="Calibri Light"/>
                <w:sz w:val="20"/>
                <w:szCs w:val="20"/>
              </w:rPr>
              <w:t xml:space="preserve"> Plan and subsequent RTF updates, where applicable.</w:t>
            </w:r>
          </w:p>
          <w:p w14:paraId="7D2E0E94" w14:textId="77777777" w:rsidR="00A6219F" w:rsidRPr="00627DA0" w:rsidRDefault="00A6219F" w:rsidP="0017288F">
            <w:pPr>
              <w:jc w:val="left"/>
              <w:rPr>
                <w:rFonts w:cs="Calibri Light"/>
                <w:sz w:val="20"/>
                <w:szCs w:val="20"/>
              </w:rPr>
            </w:pPr>
          </w:p>
          <w:p w14:paraId="646ADA9C" w14:textId="066E1F4F" w:rsidR="00A6219F" w:rsidRPr="00627DA0" w:rsidRDefault="00A6219F" w:rsidP="0017288F">
            <w:pPr>
              <w:jc w:val="left"/>
              <w:rPr>
                <w:rFonts w:cs="Calibri Light"/>
                <w:sz w:val="20"/>
                <w:szCs w:val="20"/>
              </w:rPr>
            </w:pPr>
            <w:r w:rsidRPr="00627DA0">
              <w:rPr>
                <w:rFonts w:cs="Calibri Light"/>
                <w:sz w:val="20"/>
                <w:szCs w:val="20"/>
              </w:rPr>
              <w:t>Measure costs and benefits can be found in the individual measure files as well as the “</w:t>
            </w:r>
            <w:r w:rsidR="007448C9" w:rsidRPr="00627DA0">
              <w:rPr>
                <w:rFonts w:cs="Calibri Light"/>
                <w:sz w:val="20"/>
                <w:szCs w:val="20"/>
              </w:rPr>
              <w:t>ProCost Measure Results</w:t>
            </w:r>
            <w:r w:rsidRPr="00627DA0">
              <w:rPr>
                <w:rFonts w:cs="Calibri Light"/>
                <w:sz w:val="20"/>
                <w:szCs w:val="20"/>
              </w:rPr>
              <w:t>” files.</w:t>
            </w:r>
          </w:p>
          <w:p w14:paraId="3BD35310" w14:textId="2A218EAA" w:rsidR="00F6151C" w:rsidRPr="00627DA0" w:rsidRDefault="00F6151C" w:rsidP="0017288F">
            <w:pPr>
              <w:jc w:val="left"/>
              <w:rPr>
                <w:rFonts w:cs="Calibri Light"/>
                <w:sz w:val="20"/>
                <w:szCs w:val="20"/>
              </w:rPr>
            </w:pPr>
          </w:p>
        </w:tc>
      </w:tr>
      <w:tr w:rsidR="00D4451D" w:rsidRPr="00627DA0" w14:paraId="74620B04" w14:textId="77777777" w:rsidTr="00F6151C">
        <w:tc>
          <w:tcPr>
            <w:tcW w:w="1260" w:type="dxa"/>
            <w:shd w:val="clear" w:color="auto" w:fill="F2F2F2" w:themeFill="background1" w:themeFillShade="F2"/>
          </w:tcPr>
          <w:p w14:paraId="2B4A3EFB" w14:textId="0DC687E8" w:rsidR="00D4451D" w:rsidRPr="00627DA0" w:rsidRDefault="00D4451D" w:rsidP="00F6151C">
            <w:pPr>
              <w:jc w:val="center"/>
              <w:rPr>
                <w:rFonts w:cs="Calibri Light"/>
                <w:sz w:val="20"/>
                <w:szCs w:val="20"/>
              </w:rPr>
            </w:pPr>
            <w:r w:rsidRPr="00627DA0">
              <w:rPr>
                <w:rFonts w:cs="Calibri Light"/>
                <w:sz w:val="20"/>
                <w:szCs w:val="20"/>
              </w:rPr>
              <w:t>(5)(d)(iii)</w:t>
            </w:r>
          </w:p>
        </w:tc>
        <w:tc>
          <w:tcPr>
            <w:tcW w:w="3870" w:type="dxa"/>
            <w:shd w:val="clear" w:color="auto" w:fill="F2F2F2" w:themeFill="background1" w:themeFillShade="F2"/>
          </w:tcPr>
          <w:p w14:paraId="5A5EF321" w14:textId="374C60B9" w:rsidR="00D4451D" w:rsidRPr="00627DA0" w:rsidRDefault="006570A5" w:rsidP="0017288F">
            <w:pPr>
              <w:jc w:val="left"/>
              <w:rPr>
                <w:rFonts w:cs="Calibri Light"/>
                <w:sz w:val="20"/>
                <w:szCs w:val="20"/>
              </w:rPr>
            </w:pPr>
            <w:r w:rsidRPr="00627DA0">
              <w:rPr>
                <w:rFonts w:cs="Calibri Light"/>
                <w:sz w:val="20"/>
                <w:szCs w:val="20"/>
              </w:rPr>
              <w:t>Calculate the value of the energy saved based on when it is saved. In performing this calculation, use time differentiated avoided costs to conduct the analysis that determines the financial value of energy saved through conservation</w:t>
            </w:r>
          </w:p>
        </w:tc>
        <w:tc>
          <w:tcPr>
            <w:tcW w:w="4220" w:type="dxa"/>
            <w:shd w:val="clear" w:color="auto" w:fill="F2F2F2" w:themeFill="background1" w:themeFillShade="F2"/>
          </w:tcPr>
          <w:p w14:paraId="07A5D42E" w14:textId="10BD0CDD" w:rsidR="00D4451D" w:rsidRPr="00627DA0" w:rsidRDefault="00E970C8" w:rsidP="0017288F">
            <w:pPr>
              <w:jc w:val="left"/>
              <w:rPr>
                <w:rFonts w:cs="Calibri Light"/>
                <w:sz w:val="20"/>
                <w:szCs w:val="20"/>
              </w:rPr>
            </w:pPr>
            <w:r w:rsidRPr="00627DA0">
              <w:rPr>
                <w:rFonts w:cs="Calibri Light"/>
                <w:sz w:val="20"/>
                <w:szCs w:val="20"/>
              </w:rPr>
              <w:t>T</w:t>
            </w:r>
            <w:r w:rsidR="00C30A82" w:rsidRPr="00627DA0">
              <w:rPr>
                <w:rFonts w:cs="Calibri Light"/>
                <w:sz w:val="20"/>
                <w:szCs w:val="20"/>
              </w:rPr>
              <w:t>he project team</w:t>
            </w:r>
            <w:r w:rsidR="00304113" w:rsidRPr="00627DA0">
              <w:rPr>
                <w:rFonts w:cs="Calibri Light"/>
                <w:sz w:val="20"/>
                <w:szCs w:val="20"/>
              </w:rPr>
              <w:t xml:space="preserve"> </w:t>
            </w:r>
            <w:r w:rsidR="00463FC3" w:rsidRPr="00627DA0">
              <w:rPr>
                <w:rFonts w:cs="Calibri Light"/>
                <w:sz w:val="20"/>
                <w:szCs w:val="20"/>
              </w:rPr>
              <w:t xml:space="preserve">used </w:t>
            </w:r>
            <w:r w:rsidR="00C20C8D" w:rsidRPr="00627DA0">
              <w:rPr>
                <w:rFonts w:cs="Calibri Light"/>
                <w:sz w:val="20"/>
                <w:szCs w:val="20"/>
              </w:rPr>
              <w:t xml:space="preserve">a 20-year forecast of monthly on- and off-peak market prices and the </w:t>
            </w:r>
            <w:r w:rsidR="00463FC3" w:rsidRPr="00627DA0">
              <w:rPr>
                <w:rFonts w:cs="Calibri Light"/>
                <w:sz w:val="20"/>
                <w:szCs w:val="20"/>
              </w:rPr>
              <w:t xml:space="preserve">load shapes </w:t>
            </w:r>
            <w:r w:rsidR="00AE7F28" w:rsidRPr="00627DA0">
              <w:rPr>
                <w:rFonts w:cs="Calibri Light"/>
                <w:sz w:val="20"/>
                <w:szCs w:val="20"/>
              </w:rPr>
              <w:t xml:space="preserve">developed for the 2021 Power Plan </w:t>
            </w:r>
            <w:r w:rsidR="00353D89" w:rsidRPr="00627DA0">
              <w:rPr>
                <w:rFonts w:cs="Calibri Light"/>
                <w:sz w:val="20"/>
                <w:szCs w:val="20"/>
              </w:rPr>
              <w:t>as part of the economic analysis conducted in ProCost.</w:t>
            </w:r>
          </w:p>
          <w:p w14:paraId="75EC7E6C" w14:textId="77777777" w:rsidR="00307DBD" w:rsidRPr="00627DA0" w:rsidRDefault="00307DBD" w:rsidP="0017288F">
            <w:pPr>
              <w:jc w:val="left"/>
              <w:rPr>
                <w:rFonts w:cs="Calibri Light"/>
                <w:sz w:val="20"/>
                <w:szCs w:val="20"/>
              </w:rPr>
            </w:pPr>
          </w:p>
          <w:p w14:paraId="3B6030DF" w14:textId="1953B6A7" w:rsidR="00307DBD" w:rsidRPr="00627DA0" w:rsidRDefault="001F5077" w:rsidP="0017288F">
            <w:pPr>
              <w:jc w:val="left"/>
              <w:rPr>
                <w:rFonts w:cs="Calibri Light"/>
                <w:sz w:val="20"/>
                <w:szCs w:val="20"/>
              </w:rPr>
            </w:pPr>
            <w:r w:rsidRPr="00627DA0">
              <w:rPr>
                <w:rFonts w:cs="Calibri Light"/>
                <w:sz w:val="20"/>
                <w:szCs w:val="20"/>
              </w:rPr>
              <w:t>“</w:t>
            </w:r>
            <w:r w:rsidR="00307DBD" w:rsidRPr="00627DA0">
              <w:rPr>
                <w:rFonts w:cs="Calibri Light"/>
                <w:sz w:val="20"/>
                <w:szCs w:val="20"/>
              </w:rPr>
              <w:t>MC and Loadshape</w:t>
            </w:r>
            <w:r w:rsidRPr="00627DA0">
              <w:rPr>
                <w:rFonts w:cs="Calibri Light"/>
                <w:sz w:val="20"/>
                <w:szCs w:val="20"/>
              </w:rPr>
              <w:t>”</w:t>
            </w:r>
            <w:r w:rsidR="00307DBD" w:rsidRPr="00627DA0">
              <w:rPr>
                <w:rFonts w:cs="Calibri Light"/>
                <w:sz w:val="20"/>
                <w:szCs w:val="20"/>
              </w:rPr>
              <w:t xml:space="preserve"> files contain </w:t>
            </w:r>
            <w:r w:rsidR="00353D89" w:rsidRPr="00627DA0">
              <w:rPr>
                <w:rFonts w:cs="Calibri Light"/>
                <w:sz w:val="20"/>
                <w:szCs w:val="20"/>
              </w:rPr>
              <w:t xml:space="preserve">both the market price forecast and </w:t>
            </w:r>
            <w:r w:rsidR="00307DBD" w:rsidRPr="00627DA0">
              <w:rPr>
                <w:rFonts w:cs="Calibri Light"/>
                <w:sz w:val="20"/>
                <w:szCs w:val="20"/>
              </w:rPr>
              <w:t xml:space="preserve">the library of </w:t>
            </w:r>
            <w:r w:rsidR="004A00AD" w:rsidRPr="00627DA0">
              <w:rPr>
                <w:rFonts w:cs="Calibri Light"/>
                <w:sz w:val="20"/>
                <w:szCs w:val="20"/>
              </w:rPr>
              <w:t>load shapes</w:t>
            </w:r>
            <w:r w:rsidR="00BA5425" w:rsidRPr="00627DA0">
              <w:rPr>
                <w:rFonts w:cs="Calibri Light"/>
                <w:sz w:val="20"/>
                <w:szCs w:val="20"/>
              </w:rPr>
              <w:t>. Individual measure files contain the load profile assignments.</w:t>
            </w:r>
          </w:p>
          <w:p w14:paraId="07A231ED" w14:textId="72517E1E" w:rsidR="00F6151C" w:rsidRPr="00627DA0" w:rsidRDefault="00F6151C" w:rsidP="0017288F">
            <w:pPr>
              <w:jc w:val="left"/>
              <w:rPr>
                <w:rFonts w:cs="Calibri Light"/>
                <w:sz w:val="20"/>
                <w:szCs w:val="20"/>
              </w:rPr>
            </w:pPr>
          </w:p>
        </w:tc>
      </w:tr>
      <w:tr w:rsidR="00D4451D" w:rsidRPr="00627DA0" w14:paraId="61291039" w14:textId="77777777" w:rsidTr="00B147AB">
        <w:tc>
          <w:tcPr>
            <w:tcW w:w="1260" w:type="dxa"/>
          </w:tcPr>
          <w:p w14:paraId="334C3D4E" w14:textId="4144AFE5" w:rsidR="00D4451D" w:rsidRPr="00627DA0" w:rsidRDefault="00D4451D" w:rsidP="00F6151C">
            <w:pPr>
              <w:jc w:val="center"/>
              <w:rPr>
                <w:rFonts w:cs="Calibri Light"/>
                <w:sz w:val="20"/>
                <w:szCs w:val="20"/>
              </w:rPr>
            </w:pPr>
            <w:r w:rsidRPr="00627DA0">
              <w:rPr>
                <w:rFonts w:cs="Calibri Light"/>
                <w:sz w:val="20"/>
                <w:szCs w:val="20"/>
              </w:rPr>
              <w:t>(5)(d)(iv)</w:t>
            </w:r>
          </w:p>
        </w:tc>
        <w:tc>
          <w:tcPr>
            <w:tcW w:w="3870" w:type="dxa"/>
          </w:tcPr>
          <w:p w14:paraId="0ED897C1" w14:textId="4844654B" w:rsidR="00D4451D" w:rsidRPr="00627DA0" w:rsidRDefault="00263356" w:rsidP="0017288F">
            <w:pPr>
              <w:jc w:val="left"/>
              <w:rPr>
                <w:rFonts w:cs="Calibri Light"/>
                <w:sz w:val="20"/>
                <w:szCs w:val="20"/>
              </w:rPr>
            </w:pPr>
            <w:r w:rsidRPr="00627DA0">
              <w:rPr>
                <w:rFonts w:cs="Calibri Light"/>
                <w:sz w:val="20"/>
                <w:szCs w:val="20"/>
              </w:rPr>
              <w:t>Include the increase or decrease in annual or periodic operations and maintenance costs due to conservation measures</w:t>
            </w:r>
          </w:p>
        </w:tc>
        <w:tc>
          <w:tcPr>
            <w:tcW w:w="4220" w:type="dxa"/>
          </w:tcPr>
          <w:p w14:paraId="7629BCC7" w14:textId="77777777" w:rsidR="00D4451D" w:rsidRPr="00627DA0" w:rsidRDefault="00CA08C6" w:rsidP="0017288F">
            <w:pPr>
              <w:jc w:val="left"/>
              <w:rPr>
                <w:rFonts w:cs="Calibri Light"/>
                <w:sz w:val="20"/>
                <w:szCs w:val="20"/>
              </w:rPr>
            </w:pPr>
            <w:r w:rsidRPr="00627DA0">
              <w:rPr>
                <w:rFonts w:cs="Calibri Light"/>
                <w:sz w:val="20"/>
                <w:szCs w:val="20"/>
              </w:rPr>
              <w:t xml:space="preserve">Measure analyses include changes to </w:t>
            </w:r>
            <w:r w:rsidR="00E372F2" w:rsidRPr="00627DA0">
              <w:rPr>
                <w:rFonts w:cs="Calibri Light"/>
                <w:sz w:val="20"/>
                <w:szCs w:val="20"/>
              </w:rPr>
              <w:t xml:space="preserve">O&amp;M costs as well as periodic replacement costs, where applicable. </w:t>
            </w:r>
          </w:p>
          <w:p w14:paraId="2FBE1C0F" w14:textId="77777777" w:rsidR="00E372F2" w:rsidRPr="00627DA0" w:rsidRDefault="00E372F2" w:rsidP="0017288F">
            <w:pPr>
              <w:jc w:val="left"/>
              <w:rPr>
                <w:rFonts w:cs="Calibri Light"/>
                <w:sz w:val="20"/>
                <w:szCs w:val="20"/>
              </w:rPr>
            </w:pPr>
          </w:p>
          <w:p w14:paraId="7BA3597F" w14:textId="77777777" w:rsidR="00E372F2" w:rsidRPr="00627DA0" w:rsidRDefault="00E372F2" w:rsidP="0017288F">
            <w:pPr>
              <w:jc w:val="left"/>
              <w:rPr>
                <w:rFonts w:cs="Calibri Light"/>
                <w:sz w:val="20"/>
                <w:szCs w:val="20"/>
              </w:rPr>
            </w:pPr>
            <w:r w:rsidRPr="00627DA0">
              <w:rPr>
                <w:rFonts w:cs="Calibri Light"/>
                <w:sz w:val="20"/>
                <w:szCs w:val="20"/>
              </w:rPr>
              <w:t>Measure assumptions can be found in the individual measure files</w:t>
            </w:r>
            <w:r w:rsidR="00B1077D" w:rsidRPr="00627DA0">
              <w:rPr>
                <w:rFonts w:cs="Calibri Light"/>
                <w:sz w:val="20"/>
                <w:szCs w:val="20"/>
              </w:rPr>
              <w:t>.</w:t>
            </w:r>
            <w:r w:rsidRPr="00627DA0">
              <w:rPr>
                <w:rFonts w:cs="Calibri Light"/>
                <w:sz w:val="20"/>
                <w:szCs w:val="20"/>
              </w:rPr>
              <w:t xml:space="preserve"> </w:t>
            </w:r>
          </w:p>
          <w:p w14:paraId="2642865B" w14:textId="5542B840" w:rsidR="00F6151C" w:rsidRPr="00627DA0" w:rsidRDefault="00F6151C" w:rsidP="0017288F">
            <w:pPr>
              <w:jc w:val="left"/>
              <w:rPr>
                <w:rFonts w:cs="Calibri Light"/>
                <w:sz w:val="20"/>
                <w:szCs w:val="20"/>
              </w:rPr>
            </w:pPr>
          </w:p>
        </w:tc>
      </w:tr>
      <w:tr w:rsidR="00D4451D" w:rsidRPr="00627DA0" w14:paraId="576888CE" w14:textId="77777777" w:rsidTr="00F6151C">
        <w:tc>
          <w:tcPr>
            <w:tcW w:w="1260" w:type="dxa"/>
            <w:shd w:val="clear" w:color="auto" w:fill="F2F2F2" w:themeFill="background1" w:themeFillShade="F2"/>
          </w:tcPr>
          <w:p w14:paraId="217B100D" w14:textId="7CF3C7AC" w:rsidR="00D4451D" w:rsidRPr="00627DA0" w:rsidRDefault="00D4451D" w:rsidP="00F6151C">
            <w:pPr>
              <w:jc w:val="center"/>
              <w:rPr>
                <w:rFonts w:cs="Calibri Light"/>
                <w:sz w:val="20"/>
                <w:szCs w:val="20"/>
              </w:rPr>
            </w:pPr>
            <w:r w:rsidRPr="00627DA0">
              <w:rPr>
                <w:rFonts w:cs="Calibri Light"/>
                <w:sz w:val="20"/>
                <w:szCs w:val="20"/>
              </w:rPr>
              <w:t>(5)(d)(v)</w:t>
            </w:r>
          </w:p>
        </w:tc>
        <w:tc>
          <w:tcPr>
            <w:tcW w:w="3870" w:type="dxa"/>
            <w:shd w:val="clear" w:color="auto" w:fill="F2F2F2" w:themeFill="background1" w:themeFillShade="F2"/>
          </w:tcPr>
          <w:p w14:paraId="09239260" w14:textId="04A4D6B8" w:rsidR="00D4451D" w:rsidRPr="00627DA0" w:rsidRDefault="00263356" w:rsidP="0017288F">
            <w:pPr>
              <w:jc w:val="left"/>
              <w:rPr>
                <w:rFonts w:cs="Calibri Light"/>
                <w:sz w:val="20"/>
                <w:szCs w:val="20"/>
              </w:rPr>
            </w:pPr>
            <w:r w:rsidRPr="00627DA0">
              <w:rPr>
                <w:rFonts w:cs="Calibri Light"/>
                <w:sz w:val="20"/>
                <w:szCs w:val="20"/>
              </w:rPr>
              <w:t xml:space="preserve">Include avoided energy costs equal to a forecast of regional market prices, which represents the cost of the next increment of available and reliable power supply </w:t>
            </w:r>
            <w:r w:rsidRPr="00627DA0">
              <w:rPr>
                <w:rFonts w:cs="Calibri Light"/>
                <w:sz w:val="20"/>
                <w:szCs w:val="20"/>
              </w:rPr>
              <w:lastRenderedPageBreak/>
              <w:t>available to the utility for the life of the energy efficiency measures to which it is compared</w:t>
            </w:r>
          </w:p>
        </w:tc>
        <w:tc>
          <w:tcPr>
            <w:tcW w:w="4220" w:type="dxa"/>
            <w:shd w:val="clear" w:color="auto" w:fill="F2F2F2" w:themeFill="background1" w:themeFillShade="F2"/>
          </w:tcPr>
          <w:p w14:paraId="21C6CAD6" w14:textId="41F400E0" w:rsidR="00443296" w:rsidRPr="00627DA0" w:rsidRDefault="00427F18" w:rsidP="001A10E7">
            <w:pPr>
              <w:jc w:val="left"/>
              <w:rPr>
                <w:rFonts w:cs="Calibri Light"/>
                <w:sz w:val="20"/>
                <w:szCs w:val="20"/>
              </w:rPr>
            </w:pPr>
            <w:r w:rsidRPr="00627DA0">
              <w:rPr>
                <w:rFonts w:cs="Calibri Light"/>
                <w:sz w:val="20"/>
                <w:szCs w:val="20"/>
              </w:rPr>
              <w:lastRenderedPageBreak/>
              <w:t xml:space="preserve">The project team </w:t>
            </w:r>
            <w:r w:rsidR="00FF7A2C" w:rsidRPr="00627DA0">
              <w:rPr>
                <w:rFonts w:cs="Calibri Light"/>
                <w:sz w:val="20"/>
                <w:szCs w:val="20"/>
              </w:rPr>
              <w:t>incorporate</w:t>
            </w:r>
            <w:r w:rsidR="00BF0635" w:rsidRPr="00627DA0">
              <w:rPr>
                <w:rFonts w:cs="Calibri Light"/>
                <w:sz w:val="20"/>
                <w:szCs w:val="20"/>
              </w:rPr>
              <w:t>d a 20-year forecast of on- and off-peak market prices at the mid-Columbia trading hub</w:t>
            </w:r>
            <w:r w:rsidR="00E8570C" w:rsidRPr="00627DA0">
              <w:rPr>
                <w:rFonts w:cs="Calibri Light"/>
                <w:sz w:val="20"/>
                <w:szCs w:val="20"/>
              </w:rPr>
              <w:t xml:space="preserve"> based on </w:t>
            </w:r>
            <w:r w:rsidR="00E8570C" w:rsidRPr="00627DA0">
              <w:rPr>
                <w:rFonts w:cs="Calibri Light"/>
                <w:sz w:val="20"/>
                <w:szCs w:val="20"/>
              </w:rPr>
              <w:lastRenderedPageBreak/>
              <w:t xml:space="preserve">available forward prices. </w:t>
            </w:r>
            <w:r w:rsidR="00D87859" w:rsidRPr="00627DA0">
              <w:rPr>
                <w:rFonts w:cs="Calibri Light"/>
                <w:sz w:val="20"/>
                <w:szCs w:val="20"/>
              </w:rPr>
              <w:t>Further discussion of this forecast can be found in Appendix IV.</w:t>
            </w:r>
          </w:p>
          <w:p w14:paraId="55A9E7B0" w14:textId="77777777" w:rsidR="00E8570C" w:rsidRPr="00627DA0" w:rsidRDefault="00E8570C" w:rsidP="001A10E7">
            <w:pPr>
              <w:jc w:val="left"/>
              <w:rPr>
                <w:rFonts w:cs="Calibri Light"/>
                <w:sz w:val="20"/>
                <w:szCs w:val="20"/>
              </w:rPr>
            </w:pPr>
          </w:p>
          <w:p w14:paraId="4271BB27" w14:textId="77777777" w:rsidR="008C23D3" w:rsidRPr="00627DA0" w:rsidRDefault="008C23D3" w:rsidP="008C23D3">
            <w:pPr>
              <w:jc w:val="left"/>
              <w:rPr>
                <w:rFonts w:cs="Calibri Light"/>
                <w:sz w:val="20"/>
                <w:szCs w:val="20"/>
              </w:rPr>
            </w:pPr>
            <w:r w:rsidRPr="00627DA0">
              <w:rPr>
                <w:rFonts w:cs="Calibri Light"/>
                <w:sz w:val="20"/>
                <w:szCs w:val="20"/>
              </w:rPr>
              <w:t>See the “MC and Loadshape” file for the market prices. These prices include the value of avoided REC purchases as applicable.</w:t>
            </w:r>
          </w:p>
          <w:p w14:paraId="34B32393" w14:textId="09B20822" w:rsidR="001F5077" w:rsidRPr="00627DA0" w:rsidRDefault="001F5077" w:rsidP="00E8570C">
            <w:pPr>
              <w:jc w:val="left"/>
              <w:rPr>
                <w:rFonts w:cs="Calibri Light"/>
                <w:sz w:val="20"/>
                <w:szCs w:val="20"/>
              </w:rPr>
            </w:pPr>
          </w:p>
        </w:tc>
      </w:tr>
      <w:tr w:rsidR="00D4451D" w:rsidRPr="00627DA0" w14:paraId="5E3F4D7F" w14:textId="77777777" w:rsidTr="00B147AB">
        <w:tc>
          <w:tcPr>
            <w:tcW w:w="1260" w:type="dxa"/>
          </w:tcPr>
          <w:p w14:paraId="37074407" w14:textId="261F71AA" w:rsidR="00D4451D" w:rsidRPr="00627DA0" w:rsidRDefault="00D4451D" w:rsidP="00F6151C">
            <w:pPr>
              <w:jc w:val="center"/>
              <w:rPr>
                <w:rFonts w:cs="Calibri Light"/>
                <w:sz w:val="20"/>
                <w:szCs w:val="20"/>
              </w:rPr>
            </w:pPr>
            <w:r w:rsidRPr="00627DA0">
              <w:rPr>
                <w:rFonts w:cs="Calibri Light"/>
                <w:sz w:val="20"/>
                <w:szCs w:val="20"/>
              </w:rPr>
              <w:t>(5)(d)(vi)</w:t>
            </w:r>
          </w:p>
        </w:tc>
        <w:tc>
          <w:tcPr>
            <w:tcW w:w="3870" w:type="dxa"/>
          </w:tcPr>
          <w:p w14:paraId="2CC9A433" w14:textId="0662D9B3" w:rsidR="00D4451D" w:rsidRPr="00627DA0" w:rsidRDefault="00263356" w:rsidP="0017288F">
            <w:pPr>
              <w:jc w:val="left"/>
              <w:rPr>
                <w:rFonts w:cs="Calibri Light"/>
                <w:sz w:val="20"/>
                <w:szCs w:val="20"/>
              </w:rPr>
            </w:pPr>
            <w:r w:rsidRPr="00627DA0">
              <w:rPr>
                <w:rFonts w:cs="Calibri Light"/>
                <w:sz w:val="20"/>
                <w:szCs w:val="20"/>
              </w:rPr>
              <w:t>Include deferred capacity expansion benefits for transmission and distribution systems</w:t>
            </w:r>
          </w:p>
        </w:tc>
        <w:tc>
          <w:tcPr>
            <w:tcW w:w="4220" w:type="dxa"/>
          </w:tcPr>
          <w:p w14:paraId="6F31BA68" w14:textId="3A016118" w:rsidR="00BA3556" w:rsidRPr="00627DA0" w:rsidRDefault="007D29CD" w:rsidP="00BA3556">
            <w:pPr>
              <w:jc w:val="left"/>
              <w:rPr>
                <w:rFonts w:cs="Calibri Light"/>
                <w:sz w:val="20"/>
                <w:szCs w:val="20"/>
              </w:rPr>
            </w:pPr>
            <w:r w:rsidRPr="00627DA0">
              <w:rPr>
                <w:rFonts w:cs="Calibri Light"/>
                <w:sz w:val="20"/>
                <w:szCs w:val="20"/>
              </w:rPr>
              <w:t xml:space="preserve">Deferred transmission and distribution system benefits are based on the values developed </w:t>
            </w:r>
            <w:r w:rsidR="00BA3556" w:rsidRPr="00627DA0">
              <w:rPr>
                <w:rFonts w:cs="Calibri Light"/>
                <w:sz w:val="20"/>
                <w:szCs w:val="20"/>
              </w:rPr>
              <w:t>by the Council for the 2021 Power Plan.</w:t>
            </w:r>
          </w:p>
          <w:p w14:paraId="61C92669" w14:textId="77777777" w:rsidR="00BA3556" w:rsidRPr="00627DA0" w:rsidRDefault="00BA3556" w:rsidP="00BA3556">
            <w:pPr>
              <w:jc w:val="left"/>
              <w:rPr>
                <w:rFonts w:cs="Calibri Light"/>
                <w:sz w:val="20"/>
                <w:szCs w:val="20"/>
              </w:rPr>
            </w:pPr>
          </w:p>
          <w:p w14:paraId="7CD36315" w14:textId="77777777" w:rsidR="00BA3556" w:rsidRPr="00627DA0" w:rsidRDefault="00BA3556" w:rsidP="00BA3556">
            <w:pPr>
              <w:jc w:val="left"/>
              <w:rPr>
                <w:rFonts w:cs="Calibri Light"/>
                <w:sz w:val="20"/>
                <w:szCs w:val="20"/>
              </w:rPr>
            </w:pPr>
            <w:r w:rsidRPr="00627DA0">
              <w:rPr>
                <w:rFonts w:cs="Calibri Light"/>
                <w:sz w:val="20"/>
                <w:szCs w:val="20"/>
              </w:rPr>
              <w:t>These values can be found on the “ProData” tab of the ProCost files, cells C50 and C54.</w:t>
            </w:r>
          </w:p>
          <w:p w14:paraId="4EAD0255" w14:textId="6BE3316B" w:rsidR="00443296" w:rsidRPr="00627DA0" w:rsidRDefault="00443296" w:rsidP="00BA3556">
            <w:pPr>
              <w:jc w:val="left"/>
              <w:rPr>
                <w:rFonts w:cs="Calibri Light"/>
                <w:sz w:val="20"/>
                <w:szCs w:val="20"/>
              </w:rPr>
            </w:pPr>
          </w:p>
        </w:tc>
      </w:tr>
      <w:tr w:rsidR="00D4451D" w:rsidRPr="00627DA0" w14:paraId="7752A440" w14:textId="77777777" w:rsidTr="00443296">
        <w:tc>
          <w:tcPr>
            <w:tcW w:w="1260" w:type="dxa"/>
            <w:shd w:val="clear" w:color="auto" w:fill="F2F2F2" w:themeFill="background1" w:themeFillShade="F2"/>
          </w:tcPr>
          <w:p w14:paraId="0A8B26FD" w14:textId="51E997F4" w:rsidR="00D4451D" w:rsidRPr="00627DA0" w:rsidRDefault="00D4451D" w:rsidP="00F6151C">
            <w:pPr>
              <w:jc w:val="center"/>
              <w:rPr>
                <w:rFonts w:cs="Calibri Light"/>
                <w:sz w:val="20"/>
                <w:szCs w:val="20"/>
              </w:rPr>
            </w:pPr>
            <w:r w:rsidRPr="00627DA0">
              <w:rPr>
                <w:rFonts w:cs="Calibri Light"/>
                <w:sz w:val="20"/>
                <w:szCs w:val="20"/>
              </w:rPr>
              <w:t>(5)(d)(vii)</w:t>
            </w:r>
          </w:p>
        </w:tc>
        <w:tc>
          <w:tcPr>
            <w:tcW w:w="3870" w:type="dxa"/>
            <w:shd w:val="clear" w:color="auto" w:fill="F2F2F2" w:themeFill="background1" w:themeFillShade="F2"/>
          </w:tcPr>
          <w:p w14:paraId="17637D72" w14:textId="095822E9" w:rsidR="00D4451D" w:rsidRPr="00627DA0" w:rsidRDefault="00263356" w:rsidP="0017288F">
            <w:pPr>
              <w:jc w:val="left"/>
              <w:rPr>
                <w:rFonts w:cs="Calibri Light"/>
                <w:sz w:val="20"/>
                <w:szCs w:val="20"/>
              </w:rPr>
            </w:pPr>
            <w:r w:rsidRPr="00627DA0">
              <w:rPr>
                <w:rFonts w:cs="Calibri Light"/>
                <w:sz w:val="20"/>
                <w:szCs w:val="20"/>
              </w:rPr>
              <w:t>Include deferred generation benefits consistent with the contribution to system peak capacity of the conservation measure</w:t>
            </w:r>
          </w:p>
        </w:tc>
        <w:tc>
          <w:tcPr>
            <w:tcW w:w="4220" w:type="dxa"/>
            <w:shd w:val="clear" w:color="auto" w:fill="F2F2F2" w:themeFill="background1" w:themeFillShade="F2"/>
          </w:tcPr>
          <w:p w14:paraId="4231DCCD" w14:textId="5D44E1F0" w:rsidR="0046652F" w:rsidRPr="00627DA0" w:rsidRDefault="0046652F" w:rsidP="0046652F">
            <w:pPr>
              <w:jc w:val="left"/>
              <w:rPr>
                <w:rFonts w:cs="Calibri Light"/>
                <w:sz w:val="20"/>
                <w:szCs w:val="20"/>
              </w:rPr>
            </w:pPr>
            <w:r w:rsidRPr="00627DA0">
              <w:rPr>
                <w:rFonts w:cs="Calibri Light"/>
                <w:sz w:val="20"/>
                <w:szCs w:val="20"/>
              </w:rPr>
              <w:t xml:space="preserve">Deferred generation capacity expansion benefits are based on monthly demand costs, which represents the utility cost of capacity. The development of these values is discussed in Appendix IV. </w:t>
            </w:r>
          </w:p>
          <w:p w14:paraId="0DF076F9" w14:textId="77777777" w:rsidR="0046652F" w:rsidRPr="00627DA0" w:rsidRDefault="0046652F" w:rsidP="0046652F">
            <w:pPr>
              <w:jc w:val="left"/>
              <w:rPr>
                <w:rFonts w:cs="Calibri Light"/>
                <w:sz w:val="20"/>
                <w:szCs w:val="20"/>
              </w:rPr>
            </w:pPr>
          </w:p>
          <w:p w14:paraId="5D10E168" w14:textId="77777777" w:rsidR="0046652F" w:rsidRPr="00627DA0" w:rsidRDefault="0046652F" w:rsidP="0046652F">
            <w:pPr>
              <w:jc w:val="left"/>
              <w:rPr>
                <w:rFonts w:cs="Calibri Light"/>
                <w:sz w:val="20"/>
                <w:szCs w:val="20"/>
              </w:rPr>
            </w:pPr>
            <w:r w:rsidRPr="00627DA0">
              <w:rPr>
                <w:rFonts w:cs="Calibri Light"/>
                <w:sz w:val="20"/>
                <w:szCs w:val="20"/>
              </w:rPr>
              <w:t>These values can be found on the “ProData” tab of the ProCost files, cells C60.</w:t>
            </w:r>
          </w:p>
          <w:p w14:paraId="5ED04778" w14:textId="41E55B11" w:rsidR="00443296" w:rsidRPr="00627DA0" w:rsidRDefault="00443296" w:rsidP="0017288F">
            <w:pPr>
              <w:jc w:val="left"/>
              <w:rPr>
                <w:rFonts w:cs="Calibri Light"/>
                <w:sz w:val="20"/>
                <w:szCs w:val="20"/>
              </w:rPr>
            </w:pPr>
          </w:p>
        </w:tc>
      </w:tr>
      <w:tr w:rsidR="00D4451D" w:rsidRPr="00627DA0" w14:paraId="6B775097" w14:textId="77777777" w:rsidTr="00B147AB">
        <w:tc>
          <w:tcPr>
            <w:tcW w:w="1260" w:type="dxa"/>
          </w:tcPr>
          <w:p w14:paraId="1CE98DC1" w14:textId="2A51059D" w:rsidR="00D4451D" w:rsidRPr="00627DA0" w:rsidRDefault="0066649C" w:rsidP="0051699E">
            <w:pPr>
              <w:rPr>
                <w:rFonts w:cs="Calibri Light"/>
                <w:sz w:val="20"/>
                <w:szCs w:val="20"/>
              </w:rPr>
            </w:pPr>
            <w:r w:rsidRPr="00627DA0">
              <w:rPr>
                <w:rFonts w:cs="Calibri Light"/>
                <w:sz w:val="20"/>
                <w:szCs w:val="20"/>
              </w:rPr>
              <w:t>(5)(d)(viii)</w:t>
            </w:r>
          </w:p>
        </w:tc>
        <w:tc>
          <w:tcPr>
            <w:tcW w:w="3870" w:type="dxa"/>
          </w:tcPr>
          <w:p w14:paraId="46EFDF55" w14:textId="77548123" w:rsidR="00D4451D" w:rsidRPr="00627DA0" w:rsidRDefault="00AA0A70" w:rsidP="0017288F">
            <w:pPr>
              <w:jc w:val="left"/>
              <w:rPr>
                <w:rFonts w:cs="Calibri Light"/>
                <w:sz w:val="20"/>
                <w:szCs w:val="20"/>
              </w:rPr>
            </w:pPr>
            <w:r w:rsidRPr="00627DA0">
              <w:rPr>
                <w:rFonts w:cs="Calibri Light"/>
                <w:sz w:val="20"/>
                <w:szCs w:val="20"/>
              </w:rPr>
              <w:t>Include the social cost of carbon emissions from avoided non-conservation resources</w:t>
            </w:r>
          </w:p>
        </w:tc>
        <w:tc>
          <w:tcPr>
            <w:tcW w:w="4220" w:type="dxa"/>
          </w:tcPr>
          <w:p w14:paraId="6774C7B7" w14:textId="77777777" w:rsidR="003B771A" w:rsidRPr="00627DA0" w:rsidRDefault="003B771A" w:rsidP="003B771A">
            <w:pPr>
              <w:jc w:val="left"/>
              <w:rPr>
                <w:rFonts w:cs="Calibri Light"/>
                <w:sz w:val="20"/>
                <w:szCs w:val="20"/>
              </w:rPr>
            </w:pPr>
            <w:r w:rsidRPr="00627DA0">
              <w:rPr>
                <w:rFonts w:cs="Calibri Light"/>
                <w:sz w:val="20"/>
                <w:szCs w:val="20"/>
              </w:rPr>
              <w:t>This assessment uses the social cost of carbon values determined by the federal Interagency Workgroup using a 2.5% discount rate, as required by the Clean Energy Transformation Act.</w:t>
            </w:r>
          </w:p>
          <w:p w14:paraId="061E9FA2" w14:textId="77777777" w:rsidR="003B771A" w:rsidRPr="00627DA0" w:rsidRDefault="003B771A" w:rsidP="003B771A">
            <w:pPr>
              <w:jc w:val="left"/>
              <w:rPr>
                <w:rFonts w:cs="Calibri Light"/>
                <w:sz w:val="20"/>
                <w:szCs w:val="20"/>
              </w:rPr>
            </w:pPr>
          </w:p>
          <w:p w14:paraId="1F0092F1" w14:textId="77777777" w:rsidR="00F36C9E" w:rsidRPr="00627DA0" w:rsidRDefault="003B771A" w:rsidP="00A67F9F">
            <w:pPr>
              <w:jc w:val="left"/>
              <w:rPr>
                <w:rFonts w:cs="Calibri Light"/>
                <w:sz w:val="20"/>
                <w:szCs w:val="20"/>
              </w:rPr>
            </w:pPr>
            <w:r w:rsidRPr="00627DA0">
              <w:rPr>
                <w:rFonts w:cs="Calibri Light"/>
                <w:sz w:val="20"/>
                <w:szCs w:val="20"/>
              </w:rPr>
              <w:t>The carbon costs can be found in the MC and Loadshape file.</w:t>
            </w:r>
          </w:p>
          <w:p w14:paraId="7B579EE2" w14:textId="4168500A" w:rsidR="003B771A" w:rsidRPr="00627DA0" w:rsidRDefault="003B771A" w:rsidP="00A67F9F">
            <w:pPr>
              <w:jc w:val="left"/>
              <w:rPr>
                <w:rFonts w:cs="Calibri Light"/>
                <w:sz w:val="20"/>
                <w:szCs w:val="20"/>
              </w:rPr>
            </w:pPr>
          </w:p>
        </w:tc>
      </w:tr>
      <w:tr w:rsidR="002E7791" w:rsidRPr="00627DA0" w14:paraId="69B67698" w14:textId="77777777" w:rsidTr="00443296">
        <w:tc>
          <w:tcPr>
            <w:tcW w:w="1260" w:type="dxa"/>
            <w:shd w:val="clear" w:color="auto" w:fill="F2F2F2" w:themeFill="background1" w:themeFillShade="F2"/>
          </w:tcPr>
          <w:p w14:paraId="71C8ADD0" w14:textId="65D7B771" w:rsidR="002E7791" w:rsidRPr="00627DA0" w:rsidRDefault="002E7791" w:rsidP="002E7791">
            <w:pPr>
              <w:rPr>
                <w:rFonts w:cs="Calibri Light"/>
                <w:sz w:val="20"/>
                <w:szCs w:val="20"/>
              </w:rPr>
            </w:pPr>
            <w:r w:rsidRPr="00627DA0">
              <w:rPr>
                <w:rFonts w:cs="Calibri Light"/>
                <w:sz w:val="20"/>
                <w:szCs w:val="20"/>
              </w:rPr>
              <w:t>(5)(d)(ix)</w:t>
            </w:r>
          </w:p>
        </w:tc>
        <w:tc>
          <w:tcPr>
            <w:tcW w:w="3870" w:type="dxa"/>
            <w:shd w:val="clear" w:color="auto" w:fill="F2F2F2" w:themeFill="background1" w:themeFillShade="F2"/>
          </w:tcPr>
          <w:p w14:paraId="3AC10BBC" w14:textId="6A724EA6" w:rsidR="002E7791" w:rsidRPr="00627DA0" w:rsidRDefault="002E7791" w:rsidP="002E7791">
            <w:pPr>
              <w:jc w:val="left"/>
              <w:rPr>
                <w:rFonts w:cs="Calibri Light"/>
                <w:sz w:val="20"/>
                <w:szCs w:val="20"/>
              </w:rPr>
            </w:pPr>
            <w:r w:rsidRPr="00627DA0">
              <w:rPr>
                <w:rFonts w:cs="Calibri Light"/>
                <w:sz w:val="20"/>
                <w:szCs w:val="20"/>
              </w:rPr>
              <w:t>Include a risk mitigation credit to reflect the additional value of conservation, not otherwise accounted for in other inputs, in reducing risk associated with costs of avoided non-conservation resources</w:t>
            </w:r>
          </w:p>
        </w:tc>
        <w:tc>
          <w:tcPr>
            <w:tcW w:w="4220" w:type="dxa"/>
            <w:shd w:val="clear" w:color="auto" w:fill="F2F2F2" w:themeFill="background1" w:themeFillShade="F2"/>
          </w:tcPr>
          <w:p w14:paraId="7B2EB01B" w14:textId="55483F02" w:rsidR="002E7791" w:rsidRPr="00627DA0" w:rsidRDefault="002E7791" w:rsidP="002E7791">
            <w:pPr>
              <w:jc w:val="left"/>
              <w:rPr>
                <w:rFonts w:cs="Calibri Light"/>
                <w:sz w:val="20"/>
                <w:szCs w:val="20"/>
              </w:rPr>
            </w:pPr>
            <w:r w:rsidRPr="00627DA0">
              <w:rPr>
                <w:rFonts w:cs="Calibri Light"/>
                <w:sz w:val="20"/>
                <w:szCs w:val="20"/>
              </w:rPr>
              <w:t xml:space="preserve">This analysis uses a sensitivity analysis to consider risk. Avoided cost values with uncertain future values were varied across three different </w:t>
            </w:r>
            <w:r w:rsidR="00A57D25" w:rsidRPr="00627DA0">
              <w:rPr>
                <w:rFonts w:cs="Calibri Light"/>
                <w:sz w:val="20"/>
                <w:szCs w:val="20"/>
              </w:rPr>
              <w:t xml:space="preserve">sensitivity </w:t>
            </w:r>
            <w:r w:rsidRPr="00627DA0">
              <w:rPr>
                <w:rFonts w:cs="Calibri Light"/>
                <w:sz w:val="20"/>
                <w:szCs w:val="20"/>
              </w:rPr>
              <w:t xml:space="preserve">and the resulting </w:t>
            </w:r>
            <w:r w:rsidR="00A57D25" w:rsidRPr="00627DA0">
              <w:rPr>
                <w:rFonts w:cs="Calibri Light"/>
                <w:sz w:val="20"/>
                <w:szCs w:val="20"/>
              </w:rPr>
              <w:t>variation</w:t>
            </w:r>
            <w:r w:rsidRPr="00627DA0">
              <w:rPr>
                <w:rFonts w:cs="Calibri Light"/>
                <w:sz w:val="20"/>
                <w:szCs w:val="20"/>
              </w:rPr>
              <w:t xml:space="preserve"> and risk were analyzed. </w:t>
            </w:r>
          </w:p>
          <w:p w14:paraId="4926EC93" w14:textId="77777777" w:rsidR="002E7791" w:rsidRPr="00627DA0" w:rsidRDefault="002E7791" w:rsidP="002E7791">
            <w:pPr>
              <w:jc w:val="left"/>
              <w:rPr>
                <w:rFonts w:cs="Calibri Light"/>
                <w:sz w:val="20"/>
                <w:szCs w:val="20"/>
              </w:rPr>
            </w:pPr>
          </w:p>
          <w:p w14:paraId="754EAB7A" w14:textId="4B637CB4" w:rsidR="002E7791" w:rsidRPr="00627DA0" w:rsidRDefault="002E7791" w:rsidP="002E7791">
            <w:pPr>
              <w:jc w:val="left"/>
              <w:rPr>
                <w:rFonts w:cs="Calibri Light"/>
                <w:sz w:val="20"/>
                <w:szCs w:val="20"/>
              </w:rPr>
            </w:pPr>
            <w:r w:rsidRPr="00627DA0">
              <w:rPr>
                <w:rFonts w:cs="Calibri Light"/>
                <w:sz w:val="20"/>
                <w:szCs w:val="20"/>
              </w:rPr>
              <w:t>The S</w:t>
            </w:r>
            <w:r w:rsidR="00FB47AC" w:rsidRPr="00627DA0">
              <w:rPr>
                <w:rFonts w:cs="Calibri Light"/>
                <w:sz w:val="20"/>
                <w:szCs w:val="20"/>
              </w:rPr>
              <w:t>ensitivity</w:t>
            </w:r>
            <w:r w:rsidRPr="00627DA0">
              <w:rPr>
                <w:rFonts w:cs="Calibri Light"/>
                <w:sz w:val="20"/>
                <w:szCs w:val="20"/>
              </w:rPr>
              <w:t xml:space="preserve"> Results section of this report discusses the inputs used and the implicit risk adders used in the analysis.</w:t>
            </w:r>
          </w:p>
          <w:p w14:paraId="1AEBF8DA" w14:textId="54C1A29F" w:rsidR="002E7791" w:rsidRPr="00627DA0" w:rsidRDefault="002E7791" w:rsidP="002E7791">
            <w:pPr>
              <w:jc w:val="left"/>
              <w:rPr>
                <w:rFonts w:cs="Calibri Light"/>
                <w:sz w:val="20"/>
                <w:szCs w:val="20"/>
              </w:rPr>
            </w:pPr>
          </w:p>
        </w:tc>
      </w:tr>
      <w:tr w:rsidR="00D4451D" w:rsidRPr="00627DA0" w14:paraId="1F780211" w14:textId="77777777" w:rsidTr="00B147AB">
        <w:tc>
          <w:tcPr>
            <w:tcW w:w="1260" w:type="dxa"/>
          </w:tcPr>
          <w:p w14:paraId="2EB9DBF5" w14:textId="20A4B047" w:rsidR="00D4451D" w:rsidRPr="00627DA0" w:rsidRDefault="0066649C" w:rsidP="0051699E">
            <w:pPr>
              <w:rPr>
                <w:rFonts w:cs="Calibri Light"/>
                <w:sz w:val="20"/>
                <w:szCs w:val="20"/>
              </w:rPr>
            </w:pPr>
            <w:r w:rsidRPr="00627DA0">
              <w:rPr>
                <w:rFonts w:cs="Calibri Light"/>
                <w:sz w:val="20"/>
                <w:szCs w:val="20"/>
              </w:rPr>
              <w:t>(5)(d)(x)</w:t>
            </w:r>
          </w:p>
        </w:tc>
        <w:tc>
          <w:tcPr>
            <w:tcW w:w="3870" w:type="dxa"/>
          </w:tcPr>
          <w:p w14:paraId="7061B657" w14:textId="72A09358" w:rsidR="007F2C20" w:rsidRPr="00627DA0" w:rsidRDefault="007F2C20" w:rsidP="007F2C20">
            <w:pPr>
              <w:jc w:val="left"/>
              <w:rPr>
                <w:rFonts w:cs="Calibri Light"/>
                <w:sz w:val="20"/>
                <w:szCs w:val="20"/>
              </w:rPr>
            </w:pPr>
            <w:r w:rsidRPr="00627DA0">
              <w:rPr>
                <w:rFonts w:cs="Calibri Light"/>
                <w:sz w:val="20"/>
                <w:szCs w:val="20"/>
              </w:rPr>
              <w:t>Include all non</w:t>
            </w:r>
            <w:r w:rsidR="00860D36" w:rsidRPr="00627DA0">
              <w:rPr>
                <w:rFonts w:cs="Calibri Light"/>
                <w:sz w:val="20"/>
                <w:szCs w:val="20"/>
              </w:rPr>
              <w:t>-</w:t>
            </w:r>
            <w:r w:rsidRPr="00627DA0">
              <w:rPr>
                <w:rFonts w:cs="Calibri Light"/>
                <w:sz w:val="20"/>
                <w:szCs w:val="20"/>
              </w:rPr>
              <w:t xml:space="preserve">energy impacts that a resource or measure may provide that can be quantified and </w:t>
            </w:r>
            <w:r w:rsidR="003909B5" w:rsidRPr="00627DA0">
              <w:rPr>
                <w:rFonts w:cs="Calibri Light"/>
                <w:sz w:val="20"/>
                <w:szCs w:val="20"/>
              </w:rPr>
              <w:t>monetized</w:t>
            </w:r>
          </w:p>
          <w:p w14:paraId="2B380565" w14:textId="39AD586B" w:rsidR="00D4451D" w:rsidRPr="00627DA0" w:rsidRDefault="00D4451D" w:rsidP="007F2C20">
            <w:pPr>
              <w:jc w:val="left"/>
              <w:rPr>
                <w:rFonts w:cs="Calibri Light"/>
                <w:sz w:val="20"/>
                <w:szCs w:val="20"/>
              </w:rPr>
            </w:pPr>
          </w:p>
        </w:tc>
        <w:tc>
          <w:tcPr>
            <w:tcW w:w="4220" w:type="dxa"/>
          </w:tcPr>
          <w:p w14:paraId="59084A51" w14:textId="27286AEB" w:rsidR="00D4451D" w:rsidRPr="00627DA0" w:rsidRDefault="00E8693B" w:rsidP="0017288F">
            <w:pPr>
              <w:jc w:val="left"/>
              <w:rPr>
                <w:rFonts w:cs="Calibri Light"/>
                <w:sz w:val="20"/>
                <w:szCs w:val="20"/>
              </w:rPr>
            </w:pPr>
            <w:r w:rsidRPr="00627DA0">
              <w:rPr>
                <w:rFonts w:cs="Calibri Light"/>
                <w:sz w:val="20"/>
                <w:szCs w:val="20"/>
              </w:rPr>
              <w:t>All quantifiable non-energy benefits were included where appropriate, based on values from the Council</w:t>
            </w:r>
            <w:r w:rsidR="00B51D81" w:rsidRPr="00627DA0">
              <w:rPr>
                <w:rFonts w:cs="Calibri Light"/>
                <w:sz w:val="20"/>
                <w:szCs w:val="20"/>
              </w:rPr>
              <w:t>’s 2021</w:t>
            </w:r>
            <w:r w:rsidR="00EB4CB4" w:rsidRPr="00627DA0">
              <w:rPr>
                <w:rFonts w:cs="Calibri Light"/>
                <w:sz w:val="20"/>
                <w:szCs w:val="20"/>
              </w:rPr>
              <w:t xml:space="preserve"> Power</w:t>
            </w:r>
            <w:r w:rsidR="00B51D81" w:rsidRPr="00627DA0">
              <w:rPr>
                <w:rFonts w:cs="Calibri Light"/>
                <w:sz w:val="20"/>
                <w:szCs w:val="20"/>
              </w:rPr>
              <w:t xml:space="preserve"> Plan</w:t>
            </w:r>
            <w:r w:rsidRPr="00627DA0">
              <w:rPr>
                <w:rFonts w:cs="Calibri Light"/>
                <w:sz w:val="20"/>
                <w:szCs w:val="20"/>
              </w:rPr>
              <w:t xml:space="preserve"> </w:t>
            </w:r>
            <w:r w:rsidR="00B51D81" w:rsidRPr="00627DA0">
              <w:rPr>
                <w:rFonts w:cs="Calibri Light"/>
                <w:sz w:val="20"/>
                <w:szCs w:val="20"/>
              </w:rPr>
              <w:t xml:space="preserve">materials </w:t>
            </w:r>
            <w:r w:rsidRPr="00627DA0">
              <w:rPr>
                <w:rFonts w:cs="Calibri Light"/>
                <w:sz w:val="20"/>
                <w:szCs w:val="20"/>
              </w:rPr>
              <w:t xml:space="preserve">and </w:t>
            </w:r>
            <w:r w:rsidR="00EB4CB4" w:rsidRPr="00627DA0">
              <w:rPr>
                <w:rFonts w:cs="Calibri Light"/>
                <w:sz w:val="20"/>
                <w:szCs w:val="20"/>
              </w:rPr>
              <w:t xml:space="preserve">updates from the </w:t>
            </w:r>
            <w:r w:rsidRPr="00627DA0">
              <w:rPr>
                <w:rFonts w:cs="Calibri Light"/>
                <w:sz w:val="20"/>
                <w:szCs w:val="20"/>
              </w:rPr>
              <w:t xml:space="preserve">RTF. </w:t>
            </w:r>
          </w:p>
          <w:p w14:paraId="68D3B7B9" w14:textId="77777777" w:rsidR="0061301F" w:rsidRPr="00627DA0" w:rsidRDefault="0061301F" w:rsidP="0017288F">
            <w:pPr>
              <w:jc w:val="left"/>
              <w:rPr>
                <w:rFonts w:cs="Calibri Light"/>
                <w:sz w:val="20"/>
                <w:szCs w:val="20"/>
              </w:rPr>
            </w:pPr>
          </w:p>
          <w:p w14:paraId="1F33C0CC" w14:textId="6AEEEA77" w:rsidR="0061301F" w:rsidRPr="00627DA0" w:rsidRDefault="0061301F" w:rsidP="0017288F">
            <w:pPr>
              <w:jc w:val="left"/>
              <w:rPr>
                <w:rFonts w:cs="Calibri Light"/>
                <w:sz w:val="20"/>
                <w:szCs w:val="20"/>
              </w:rPr>
            </w:pPr>
            <w:r w:rsidRPr="00627DA0">
              <w:rPr>
                <w:rFonts w:cs="Calibri Light"/>
                <w:sz w:val="20"/>
                <w:szCs w:val="20"/>
              </w:rPr>
              <w:t>Measure assumptions can be found in the individual measure files.</w:t>
            </w:r>
          </w:p>
        </w:tc>
      </w:tr>
      <w:tr w:rsidR="00D4451D" w:rsidRPr="00627DA0" w14:paraId="7568E40E" w14:textId="77777777" w:rsidTr="00443296">
        <w:tc>
          <w:tcPr>
            <w:tcW w:w="1260" w:type="dxa"/>
            <w:shd w:val="clear" w:color="auto" w:fill="F2F2F2" w:themeFill="background1" w:themeFillShade="F2"/>
          </w:tcPr>
          <w:p w14:paraId="76CCF4F9" w14:textId="512BF973" w:rsidR="00D4451D" w:rsidRPr="00627DA0" w:rsidRDefault="0066649C" w:rsidP="0051699E">
            <w:pPr>
              <w:rPr>
                <w:rFonts w:cs="Calibri Light"/>
                <w:sz w:val="20"/>
                <w:szCs w:val="20"/>
              </w:rPr>
            </w:pPr>
            <w:r w:rsidRPr="00627DA0">
              <w:rPr>
                <w:rFonts w:cs="Calibri Light"/>
                <w:sz w:val="20"/>
                <w:szCs w:val="20"/>
              </w:rPr>
              <w:lastRenderedPageBreak/>
              <w:t>(5)(d)(xi)</w:t>
            </w:r>
          </w:p>
        </w:tc>
        <w:tc>
          <w:tcPr>
            <w:tcW w:w="3870" w:type="dxa"/>
            <w:shd w:val="clear" w:color="auto" w:fill="F2F2F2" w:themeFill="background1" w:themeFillShade="F2"/>
          </w:tcPr>
          <w:p w14:paraId="2FDEEE11" w14:textId="049D8F1A" w:rsidR="00D4451D" w:rsidRPr="00627DA0" w:rsidRDefault="007F2C20" w:rsidP="0017288F">
            <w:pPr>
              <w:jc w:val="left"/>
              <w:rPr>
                <w:rFonts w:cs="Calibri Light"/>
                <w:sz w:val="20"/>
                <w:szCs w:val="20"/>
              </w:rPr>
            </w:pPr>
            <w:r w:rsidRPr="00627DA0">
              <w:rPr>
                <w:rFonts w:cs="Calibri Light"/>
                <w:sz w:val="20"/>
                <w:szCs w:val="20"/>
              </w:rPr>
              <w:t>Include an estimate of program administrative costs</w:t>
            </w:r>
          </w:p>
        </w:tc>
        <w:tc>
          <w:tcPr>
            <w:tcW w:w="4220" w:type="dxa"/>
            <w:shd w:val="clear" w:color="auto" w:fill="F2F2F2" w:themeFill="background1" w:themeFillShade="F2"/>
          </w:tcPr>
          <w:p w14:paraId="71189FD3" w14:textId="788DA5BF" w:rsidR="00D4451D" w:rsidRPr="00627DA0" w:rsidRDefault="0061301F" w:rsidP="0017288F">
            <w:pPr>
              <w:jc w:val="left"/>
              <w:rPr>
                <w:rFonts w:cs="Calibri Light"/>
                <w:sz w:val="20"/>
                <w:szCs w:val="20"/>
              </w:rPr>
            </w:pPr>
            <w:r w:rsidRPr="00627DA0">
              <w:rPr>
                <w:rFonts w:cs="Calibri Light"/>
                <w:sz w:val="20"/>
                <w:szCs w:val="20"/>
              </w:rPr>
              <w:t xml:space="preserve">This assessment uses the </w:t>
            </w:r>
            <w:r w:rsidR="00700D85" w:rsidRPr="00627DA0">
              <w:rPr>
                <w:rFonts w:cs="Calibri Light"/>
                <w:sz w:val="20"/>
                <w:szCs w:val="20"/>
              </w:rPr>
              <w:t>Council’s</w:t>
            </w:r>
            <w:r w:rsidRPr="00627DA0">
              <w:rPr>
                <w:rFonts w:cs="Calibri Light"/>
                <w:sz w:val="20"/>
                <w:szCs w:val="20"/>
              </w:rPr>
              <w:t xml:space="preserve"> assumption of </w:t>
            </w:r>
            <w:r w:rsidR="004A2DE6" w:rsidRPr="00627DA0">
              <w:rPr>
                <w:rFonts w:cs="Calibri Light"/>
                <w:sz w:val="20"/>
                <w:szCs w:val="20"/>
              </w:rPr>
              <w:t>administrative costs equal to 20% of measure capital costs.</w:t>
            </w:r>
          </w:p>
          <w:p w14:paraId="410D1DDE" w14:textId="77777777" w:rsidR="004A2DE6" w:rsidRPr="00627DA0" w:rsidRDefault="004A2DE6" w:rsidP="0017288F">
            <w:pPr>
              <w:jc w:val="left"/>
              <w:rPr>
                <w:rFonts w:cs="Calibri Light"/>
                <w:sz w:val="20"/>
                <w:szCs w:val="20"/>
              </w:rPr>
            </w:pPr>
          </w:p>
          <w:p w14:paraId="7EB5AEC1" w14:textId="60494B52" w:rsidR="00C26C32" w:rsidRPr="00627DA0" w:rsidRDefault="00C26C32" w:rsidP="0017288F">
            <w:pPr>
              <w:jc w:val="left"/>
              <w:rPr>
                <w:rFonts w:cs="Calibri Light"/>
                <w:sz w:val="20"/>
                <w:szCs w:val="20"/>
              </w:rPr>
            </w:pPr>
            <w:r w:rsidRPr="00627DA0">
              <w:rPr>
                <w:rFonts w:cs="Calibri Light"/>
                <w:sz w:val="20"/>
                <w:szCs w:val="20"/>
              </w:rPr>
              <w:t>Program admin costs can be found in the “</w:t>
            </w:r>
            <w:r w:rsidR="00F62C7C" w:rsidRPr="00627DA0">
              <w:rPr>
                <w:rFonts w:cs="Calibri Light"/>
                <w:sz w:val="20"/>
                <w:szCs w:val="20"/>
              </w:rPr>
              <w:t xml:space="preserve">ProData” tab of the ProCost file, </w:t>
            </w:r>
            <w:r w:rsidR="001719C8" w:rsidRPr="00627DA0">
              <w:rPr>
                <w:rFonts w:cs="Calibri Light"/>
                <w:sz w:val="20"/>
                <w:szCs w:val="20"/>
              </w:rPr>
              <w:t>c</w:t>
            </w:r>
            <w:r w:rsidR="00F62C7C" w:rsidRPr="00627DA0">
              <w:rPr>
                <w:rFonts w:cs="Calibri Light"/>
                <w:sz w:val="20"/>
                <w:szCs w:val="20"/>
              </w:rPr>
              <w:t>ell C2</w:t>
            </w:r>
            <w:r w:rsidR="001719C8" w:rsidRPr="00627DA0">
              <w:rPr>
                <w:rFonts w:cs="Calibri Light"/>
                <w:sz w:val="20"/>
                <w:szCs w:val="20"/>
              </w:rPr>
              <w:t>9</w:t>
            </w:r>
            <w:r w:rsidR="00F62C7C" w:rsidRPr="00627DA0">
              <w:rPr>
                <w:rFonts w:cs="Calibri Light"/>
                <w:sz w:val="20"/>
                <w:szCs w:val="20"/>
              </w:rPr>
              <w:t xml:space="preserve">. </w:t>
            </w:r>
          </w:p>
          <w:p w14:paraId="165FD486" w14:textId="3A12CFAB" w:rsidR="00443296" w:rsidRPr="00627DA0" w:rsidRDefault="00443296" w:rsidP="0017288F">
            <w:pPr>
              <w:jc w:val="left"/>
              <w:rPr>
                <w:rFonts w:cs="Calibri Light"/>
                <w:sz w:val="20"/>
                <w:szCs w:val="20"/>
              </w:rPr>
            </w:pPr>
          </w:p>
        </w:tc>
      </w:tr>
      <w:tr w:rsidR="0066649C" w:rsidRPr="00627DA0" w14:paraId="5E76AD3D" w14:textId="77777777" w:rsidTr="00B147AB">
        <w:tc>
          <w:tcPr>
            <w:tcW w:w="1260" w:type="dxa"/>
          </w:tcPr>
          <w:p w14:paraId="65CBFB5A" w14:textId="1F1645BB" w:rsidR="0066649C" w:rsidRPr="00627DA0" w:rsidRDefault="0066649C" w:rsidP="0051699E">
            <w:pPr>
              <w:rPr>
                <w:rFonts w:cs="Calibri Light"/>
                <w:sz w:val="20"/>
                <w:szCs w:val="20"/>
              </w:rPr>
            </w:pPr>
            <w:r w:rsidRPr="00627DA0">
              <w:rPr>
                <w:rFonts w:cs="Calibri Light"/>
                <w:sz w:val="20"/>
                <w:szCs w:val="20"/>
              </w:rPr>
              <w:t>(5)(d)(x</w:t>
            </w:r>
            <w:r w:rsidR="007120FF" w:rsidRPr="00627DA0">
              <w:rPr>
                <w:rFonts w:cs="Calibri Light"/>
                <w:sz w:val="20"/>
                <w:szCs w:val="20"/>
              </w:rPr>
              <w:t>ii</w:t>
            </w:r>
            <w:r w:rsidRPr="00627DA0">
              <w:rPr>
                <w:rFonts w:cs="Calibri Light"/>
                <w:sz w:val="20"/>
                <w:szCs w:val="20"/>
              </w:rPr>
              <w:t>)</w:t>
            </w:r>
          </w:p>
        </w:tc>
        <w:tc>
          <w:tcPr>
            <w:tcW w:w="3870" w:type="dxa"/>
          </w:tcPr>
          <w:p w14:paraId="5D76A740" w14:textId="2A7627E1" w:rsidR="0066649C" w:rsidRPr="00627DA0" w:rsidRDefault="007F2C20" w:rsidP="0017288F">
            <w:pPr>
              <w:jc w:val="left"/>
              <w:rPr>
                <w:rFonts w:cs="Calibri Light"/>
                <w:sz w:val="20"/>
                <w:szCs w:val="20"/>
              </w:rPr>
            </w:pPr>
            <w:r w:rsidRPr="00627DA0">
              <w:rPr>
                <w:rFonts w:cs="Calibri Light"/>
                <w:sz w:val="20"/>
                <w:szCs w:val="20"/>
              </w:rPr>
              <w:t>Include the cost of financing measures using the capital costs of the entity that is expected to pay for the measure</w:t>
            </w:r>
          </w:p>
        </w:tc>
        <w:tc>
          <w:tcPr>
            <w:tcW w:w="4220" w:type="dxa"/>
          </w:tcPr>
          <w:p w14:paraId="07704527" w14:textId="224D2CC0" w:rsidR="0066649C" w:rsidRPr="00627DA0" w:rsidRDefault="007E2709" w:rsidP="0017288F">
            <w:pPr>
              <w:jc w:val="left"/>
              <w:rPr>
                <w:rFonts w:cs="Calibri Light"/>
                <w:sz w:val="20"/>
                <w:szCs w:val="20"/>
              </w:rPr>
            </w:pPr>
            <w:r w:rsidRPr="00627DA0">
              <w:rPr>
                <w:rFonts w:cs="Calibri Light"/>
                <w:sz w:val="20"/>
                <w:szCs w:val="20"/>
              </w:rPr>
              <w:t xml:space="preserve">This assessment utilizes the financing </w:t>
            </w:r>
            <w:r w:rsidR="00B46E6A" w:rsidRPr="00627DA0">
              <w:rPr>
                <w:rFonts w:cs="Calibri Light"/>
                <w:sz w:val="20"/>
                <w:szCs w:val="20"/>
              </w:rPr>
              <w:t xml:space="preserve">cost assumptions from the </w:t>
            </w:r>
            <w:r w:rsidR="007077AC" w:rsidRPr="00627DA0">
              <w:rPr>
                <w:rFonts w:cs="Calibri Light"/>
                <w:sz w:val="20"/>
                <w:szCs w:val="20"/>
              </w:rPr>
              <w:t>2021</w:t>
            </w:r>
            <w:r w:rsidR="00B46E6A" w:rsidRPr="00627DA0">
              <w:rPr>
                <w:rFonts w:cs="Calibri Light"/>
                <w:sz w:val="20"/>
                <w:szCs w:val="20"/>
              </w:rPr>
              <w:t xml:space="preserve"> </w:t>
            </w:r>
            <w:r w:rsidR="00EB4CB4" w:rsidRPr="00627DA0">
              <w:rPr>
                <w:rFonts w:cs="Calibri Light"/>
                <w:sz w:val="20"/>
                <w:szCs w:val="20"/>
              </w:rPr>
              <w:t xml:space="preserve">Power </w:t>
            </w:r>
            <w:r w:rsidR="00B46E6A" w:rsidRPr="00627DA0">
              <w:rPr>
                <w:rFonts w:cs="Calibri Light"/>
                <w:sz w:val="20"/>
                <w:szCs w:val="20"/>
              </w:rPr>
              <w:t>Plan</w:t>
            </w:r>
            <w:r w:rsidR="007077AC" w:rsidRPr="00627DA0">
              <w:rPr>
                <w:rFonts w:cs="Calibri Light"/>
                <w:sz w:val="20"/>
                <w:szCs w:val="20"/>
              </w:rPr>
              <w:t xml:space="preserve"> materials</w:t>
            </w:r>
            <w:r w:rsidR="00B46E6A" w:rsidRPr="00627DA0">
              <w:rPr>
                <w:rFonts w:cs="Calibri Light"/>
                <w:sz w:val="20"/>
                <w:szCs w:val="20"/>
              </w:rPr>
              <w:t>, including the sector-specific cost shares and cost of capital assumptions.</w:t>
            </w:r>
          </w:p>
          <w:p w14:paraId="64483262" w14:textId="77777777" w:rsidR="00B46E6A" w:rsidRPr="00627DA0" w:rsidRDefault="00B46E6A" w:rsidP="0017288F">
            <w:pPr>
              <w:jc w:val="left"/>
              <w:rPr>
                <w:rFonts w:cs="Calibri Light"/>
                <w:sz w:val="20"/>
                <w:szCs w:val="20"/>
              </w:rPr>
            </w:pPr>
          </w:p>
          <w:p w14:paraId="509E822C" w14:textId="722A33D9" w:rsidR="00B46E6A" w:rsidRPr="00627DA0" w:rsidRDefault="00B46E6A" w:rsidP="0017288F">
            <w:pPr>
              <w:jc w:val="left"/>
              <w:rPr>
                <w:rFonts w:cs="Calibri Light"/>
                <w:sz w:val="20"/>
                <w:szCs w:val="20"/>
              </w:rPr>
            </w:pPr>
            <w:r w:rsidRPr="00627DA0">
              <w:rPr>
                <w:rFonts w:cs="Calibri Light"/>
                <w:sz w:val="20"/>
                <w:szCs w:val="20"/>
              </w:rPr>
              <w:t xml:space="preserve">Financing assumptions can be found in the ProData tab of the ProCost batch runner files, </w:t>
            </w:r>
            <w:r w:rsidR="00C800AB" w:rsidRPr="00627DA0">
              <w:rPr>
                <w:rFonts w:cs="Calibri Light"/>
                <w:sz w:val="20"/>
                <w:szCs w:val="20"/>
              </w:rPr>
              <w:t>cells C37:F4</w:t>
            </w:r>
            <w:r w:rsidR="006B3294" w:rsidRPr="00627DA0">
              <w:rPr>
                <w:rFonts w:cs="Calibri Light"/>
                <w:sz w:val="20"/>
                <w:szCs w:val="20"/>
              </w:rPr>
              <w:t>6</w:t>
            </w:r>
            <w:r w:rsidR="00C800AB" w:rsidRPr="00627DA0">
              <w:rPr>
                <w:rFonts w:cs="Calibri Light"/>
                <w:sz w:val="20"/>
                <w:szCs w:val="20"/>
              </w:rPr>
              <w:t>.</w:t>
            </w:r>
          </w:p>
          <w:p w14:paraId="2BFB303F" w14:textId="24C91104" w:rsidR="00443296" w:rsidRPr="00627DA0" w:rsidRDefault="00443296" w:rsidP="0017288F">
            <w:pPr>
              <w:jc w:val="left"/>
              <w:rPr>
                <w:rFonts w:cs="Calibri Light"/>
                <w:sz w:val="20"/>
                <w:szCs w:val="20"/>
              </w:rPr>
            </w:pPr>
          </w:p>
        </w:tc>
      </w:tr>
      <w:tr w:rsidR="0066649C" w:rsidRPr="00627DA0" w14:paraId="6F99F6FB" w14:textId="77777777" w:rsidTr="00443296">
        <w:tc>
          <w:tcPr>
            <w:tcW w:w="1260" w:type="dxa"/>
            <w:shd w:val="clear" w:color="auto" w:fill="F2F2F2" w:themeFill="background1" w:themeFillShade="F2"/>
          </w:tcPr>
          <w:p w14:paraId="09F2D41C" w14:textId="604184E8" w:rsidR="0066649C" w:rsidRPr="00627DA0" w:rsidRDefault="007120FF" w:rsidP="0051699E">
            <w:pPr>
              <w:rPr>
                <w:rFonts w:cs="Calibri Light"/>
                <w:sz w:val="20"/>
                <w:szCs w:val="20"/>
              </w:rPr>
            </w:pPr>
            <w:r w:rsidRPr="00627DA0">
              <w:rPr>
                <w:rFonts w:cs="Calibri Light"/>
                <w:sz w:val="20"/>
                <w:szCs w:val="20"/>
              </w:rPr>
              <w:t>(5)(d)(xiii)</w:t>
            </w:r>
          </w:p>
        </w:tc>
        <w:tc>
          <w:tcPr>
            <w:tcW w:w="3870" w:type="dxa"/>
            <w:shd w:val="clear" w:color="auto" w:fill="F2F2F2" w:themeFill="background1" w:themeFillShade="F2"/>
          </w:tcPr>
          <w:p w14:paraId="43BFDB69" w14:textId="31284189" w:rsidR="0066649C" w:rsidRPr="00627DA0" w:rsidRDefault="0062389F" w:rsidP="0017288F">
            <w:pPr>
              <w:jc w:val="left"/>
              <w:rPr>
                <w:rFonts w:cs="Calibri Light"/>
                <w:sz w:val="20"/>
                <w:szCs w:val="20"/>
              </w:rPr>
            </w:pPr>
            <w:r w:rsidRPr="00627DA0">
              <w:rPr>
                <w:rFonts w:cs="Calibri Light"/>
                <w:sz w:val="20"/>
                <w:szCs w:val="20"/>
              </w:rPr>
              <w:t>Discount future costs and benefits at a discount rate equal to the discount rate used by the utility in evaluating non-conservation resources</w:t>
            </w:r>
          </w:p>
        </w:tc>
        <w:tc>
          <w:tcPr>
            <w:tcW w:w="4220" w:type="dxa"/>
            <w:shd w:val="clear" w:color="auto" w:fill="F2F2F2" w:themeFill="background1" w:themeFillShade="F2"/>
          </w:tcPr>
          <w:p w14:paraId="195F094D" w14:textId="5251F968" w:rsidR="0066649C" w:rsidRPr="00627DA0" w:rsidRDefault="00763823" w:rsidP="0017288F">
            <w:pPr>
              <w:jc w:val="left"/>
              <w:rPr>
                <w:rFonts w:cs="Calibri Light"/>
                <w:sz w:val="20"/>
                <w:szCs w:val="20"/>
              </w:rPr>
            </w:pPr>
            <w:r w:rsidRPr="00627DA0">
              <w:rPr>
                <w:rFonts w:cs="Calibri Light"/>
                <w:sz w:val="20"/>
                <w:szCs w:val="20"/>
              </w:rPr>
              <w:t xml:space="preserve">This assessment uses a </w:t>
            </w:r>
            <w:r w:rsidR="006B3294" w:rsidRPr="00627DA0">
              <w:rPr>
                <w:rFonts w:cs="Calibri Light"/>
                <w:sz w:val="20"/>
                <w:szCs w:val="20"/>
              </w:rPr>
              <w:t xml:space="preserve">real </w:t>
            </w:r>
            <w:r w:rsidRPr="00627DA0">
              <w:rPr>
                <w:rFonts w:cs="Calibri Light"/>
                <w:sz w:val="20"/>
                <w:szCs w:val="20"/>
              </w:rPr>
              <w:t xml:space="preserve">discount rate of </w:t>
            </w:r>
            <w:r w:rsidR="00884695" w:rsidRPr="00627DA0">
              <w:rPr>
                <w:rFonts w:cs="Calibri Light"/>
                <w:sz w:val="20"/>
                <w:szCs w:val="20"/>
              </w:rPr>
              <w:t>3</w:t>
            </w:r>
            <w:r w:rsidR="002F1557" w:rsidRPr="00627DA0">
              <w:rPr>
                <w:rFonts w:cs="Calibri Light"/>
                <w:sz w:val="20"/>
                <w:szCs w:val="20"/>
              </w:rPr>
              <w:t>.</w:t>
            </w:r>
            <w:r w:rsidR="00B6727A" w:rsidRPr="00627DA0">
              <w:rPr>
                <w:rFonts w:cs="Calibri Light"/>
                <w:sz w:val="20"/>
                <w:szCs w:val="20"/>
              </w:rPr>
              <w:t>7</w:t>
            </w:r>
            <w:r w:rsidR="002F1557" w:rsidRPr="00627DA0">
              <w:rPr>
                <w:rFonts w:cs="Calibri Light"/>
                <w:sz w:val="20"/>
                <w:szCs w:val="20"/>
              </w:rPr>
              <w:t>5</w:t>
            </w:r>
            <w:r w:rsidRPr="00627DA0">
              <w:rPr>
                <w:rFonts w:cs="Calibri Light"/>
                <w:sz w:val="20"/>
                <w:szCs w:val="20"/>
              </w:rPr>
              <w:t>%</w:t>
            </w:r>
            <w:r w:rsidR="00466023" w:rsidRPr="00627DA0">
              <w:rPr>
                <w:rFonts w:cs="Calibri Light"/>
                <w:sz w:val="20"/>
                <w:szCs w:val="20"/>
              </w:rPr>
              <w:t xml:space="preserve"> to determine the present value of all costs and benefits</w:t>
            </w:r>
            <w:r w:rsidR="006B3294" w:rsidRPr="00627DA0">
              <w:rPr>
                <w:rFonts w:cs="Calibri Light"/>
                <w:sz w:val="20"/>
                <w:szCs w:val="20"/>
              </w:rPr>
              <w:t>.</w:t>
            </w:r>
            <w:r w:rsidR="0037313F" w:rsidRPr="00627DA0">
              <w:rPr>
                <w:rFonts w:cs="Calibri Light"/>
                <w:sz w:val="20"/>
                <w:szCs w:val="20"/>
              </w:rPr>
              <w:t xml:space="preserve"> </w:t>
            </w:r>
            <w:r w:rsidR="002F1557" w:rsidRPr="00627DA0">
              <w:rPr>
                <w:rFonts w:cs="Calibri Light"/>
                <w:sz w:val="20"/>
                <w:szCs w:val="20"/>
              </w:rPr>
              <w:t>This represents the utility’s long-term cost of capital.</w:t>
            </w:r>
          </w:p>
          <w:p w14:paraId="0DF51D2D" w14:textId="0F6D076A" w:rsidR="00466023" w:rsidRPr="00627DA0" w:rsidRDefault="00466023" w:rsidP="0017288F">
            <w:pPr>
              <w:jc w:val="left"/>
              <w:rPr>
                <w:rFonts w:cs="Calibri Light"/>
                <w:sz w:val="20"/>
                <w:szCs w:val="20"/>
              </w:rPr>
            </w:pPr>
          </w:p>
          <w:p w14:paraId="6963C112" w14:textId="77777777" w:rsidR="00466023" w:rsidRPr="00627DA0" w:rsidRDefault="00466023" w:rsidP="0017288F">
            <w:pPr>
              <w:jc w:val="left"/>
              <w:rPr>
                <w:rFonts w:cs="Calibri Light"/>
                <w:sz w:val="20"/>
                <w:szCs w:val="20"/>
              </w:rPr>
            </w:pPr>
            <w:r w:rsidRPr="00627DA0">
              <w:rPr>
                <w:rFonts w:cs="Calibri Light"/>
                <w:sz w:val="20"/>
                <w:szCs w:val="20"/>
              </w:rPr>
              <w:t xml:space="preserve">The discount rate used in </w:t>
            </w:r>
            <w:r w:rsidR="0058690C" w:rsidRPr="00627DA0">
              <w:rPr>
                <w:rFonts w:cs="Calibri Light"/>
                <w:sz w:val="20"/>
                <w:szCs w:val="20"/>
              </w:rPr>
              <w:t>this</w:t>
            </w:r>
            <w:r w:rsidRPr="00627DA0">
              <w:rPr>
                <w:rFonts w:cs="Calibri Light"/>
                <w:sz w:val="20"/>
                <w:szCs w:val="20"/>
              </w:rPr>
              <w:t xml:space="preserve"> analys</w:t>
            </w:r>
            <w:r w:rsidR="0058690C" w:rsidRPr="00627DA0">
              <w:rPr>
                <w:rFonts w:cs="Calibri Light"/>
                <w:sz w:val="20"/>
                <w:szCs w:val="20"/>
              </w:rPr>
              <w:t>i</w:t>
            </w:r>
            <w:r w:rsidRPr="00627DA0">
              <w:rPr>
                <w:rFonts w:cs="Calibri Light"/>
                <w:sz w:val="20"/>
                <w:szCs w:val="20"/>
              </w:rPr>
              <w:t xml:space="preserve">s can be found in the ProCost file, </w:t>
            </w:r>
            <w:r w:rsidR="000A40B7" w:rsidRPr="00627DA0">
              <w:rPr>
                <w:rFonts w:cs="Calibri Light"/>
                <w:sz w:val="20"/>
                <w:szCs w:val="20"/>
              </w:rPr>
              <w:t>on cell C2</w:t>
            </w:r>
            <w:r w:rsidR="00A40766" w:rsidRPr="00627DA0">
              <w:rPr>
                <w:rFonts w:cs="Calibri Light"/>
                <w:sz w:val="20"/>
                <w:szCs w:val="20"/>
              </w:rPr>
              <w:t>7</w:t>
            </w:r>
            <w:r w:rsidR="000A40B7" w:rsidRPr="00627DA0">
              <w:rPr>
                <w:rFonts w:cs="Calibri Light"/>
                <w:sz w:val="20"/>
                <w:szCs w:val="20"/>
              </w:rPr>
              <w:t xml:space="preserve"> of the ProData tab.</w:t>
            </w:r>
          </w:p>
          <w:p w14:paraId="32512F8D" w14:textId="77A7548E" w:rsidR="00890E24" w:rsidRPr="00627DA0" w:rsidRDefault="00890E24" w:rsidP="0017288F">
            <w:pPr>
              <w:jc w:val="left"/>
              <w:rPr>
                <w:rFonts w:cs="Calibri Light"/>
                <w:sz w:val="20"/>
                <w:szCs w:val="20"/>
              </w:rPr>
            </w:pPr>
          </w:p>
        </w:tc>
      </w:tr>
      <w:tr w:rsidR="0066649C" w:rsidRPr="00627DA0" w14:paraId="3942E89D" w14:textId="77777777" w:rsidTr="00B147AB">
        <w:tc>
          <w:tcPr>
            <w:tcW w:w="1260" w:type="dxa"/>
          </w:tcPr>
          <w:p w14:paraId="71F88520" w14:textId="25B214D2" w:rsidR="0066649C" w:rsidRPr="00627DA0" w:rsidRDefault="007120FF" w:rsidP="0051699E">
            <w:pPr>
              <w:rPr>
                <w:rFonts w:cs="Calibri Light"/>
                <w:sz w:val="20"/>
                <w:szCs w:val="20"/>
              </w:rPr>
            </w:pPr>
            <w:r w:rsidRPr="00627DA0">
              <w:rPr>
                <w:rFonts w:cs="Calibri Light"/>
                <w:sz w:val="20"/>
                <w:szCs w:val="20"/>
              </w:rPr>
              <w:t>(5)(d)(xiv)</w:t>
            </w:r>
          </w:p>
        </w:tc>
        <w:tc>
          <w:tcPr>
            <w:tcW w:w="3870" w:type="dxa"/>
          </w:tcPr>
          <w:p w14:paraId="661817A8" w14:textId="75FE3638" w:rsidR="0066649C" w:rsidRPr="00627DA0" w:rsidRDefault="0062389F" w:rsidP="0017288F">
            <w:pPr>
              <w:jc w:val="left"/>
              <w:rPr>
                <w:rFonts w:cs="Calibri Light"/>
                <w:sz w:val="20"/>
                <w:szCs w:val="20"/>
              </w:rPr>
            </w:pPr>
            <w:r w:rsidRPr="00627DA0">
              <w:rPr>
                <w:rFonts w:cs="Calibri Light"/>
                <w:sz w:val="20"/>
                <w:szCs w:val="20"/>
              </w:rPr>
              <w:t>Include a ten percent bonus for the energy and capacity benefits of conservation measures as defined in 16 U.S.C. § 839a of the Pacific Northwest Electric Power Planning and Conservation Act</w:t>
            </w:r>
          </w:p>
        </w:tc>
        <w:tc>
          <w:tcPr>
            <w:tcW w:w="4220" w:type="dxa"/>
          </w:tcPr>
          <w:p w14:paraId="61FB6D53" w14:textId="646D381D" w:rsidR="0066649C" w:rsidRPr="00627DA0" w:rsidRDefault="002F1557" w:rsidP="0017288F">
            <w:pPr>
              <w:jc w:val="left"/>
              <w:rPr>
                <w:rFonts w:cs="Calibri Light"/>
                <w:sz w:val="20"/>
                <w:szCs w:val="20"/>
              </w:rPr>
            </w:pPr>
            <w:r w:rsidRPr="00627DA0">
              <w:rPr>
                <w:rFonts w:cs="Calibri Light"/>
                <w:sz w:val="20"/>
                <w:szCs w:val="20"/>
              </w:rPr>
              <w:t xml:space="preserve">A 10% </w:t>
            </w:r>
            <w:r w:rsidR="00786FA0" w:rsidRPr="00627DA0">
              <w:rPr>
                <w:rFonts w:cs="Calibri Light"/>
                <w:sz w:val="20"/>
                <w:szCs w:val="20"/>
              </w:rPr>
              <w:t>bonus</w:t>
            </w:r>
            <w:r w:rsidRPr="00627DA0">
              <w:rPr>
                <w:rFonts w:cs="Calibri Light"/>
                <w:sz w:val="20"/>
                <w:szCs w:val="20"/>
              </w:rPr>
              <w:t xml:space="preserve"> is applied </w:t>
            </w:r>
            <w:r w:rsidR="00786FA0" w:rsidRPr="00627DA0">
              <w:rPr>
                <w:rFonts w:cs="Calibri Light"/>
                <w:sz w:val="20"/>
                <w:szCs w:val="20"/>
              </w:rPr>
              <w:t>consistent with the NW Power Act</w:t>
            </w:r>
            <w:r w:rsidR="00BB5F96" w:rsidRPr="00627DA0">
              <w:rPr>
                <w:rFonts w:cs="Calibri Light"/>
                <w:sz w:val="20"/>
                <w:szCs w:val="20"/>
              </w:rPr>
              <w:t>.</w:t>
            </w:r>
          </w:p>
          <w:p w14:paraId="184D3717" w14:textId="77777777" w:rsidR="005C7961" w:rsidRPr="00627DA0" w:rsidRDefault="005C7961" w:rsidP="0017288F">
            <w:pPr>
              <w:jc w:val="left"/>
              <w:rPr>
                <w:rFonts w:cs="Calibri Light"/>
                <w:sz w:val="20"/>
                <w:szCs w:val="20"/>
              </w:rPr>
            </w:pPr>
          </w:p>
          <w:p w14:paraId="45506BC3" w14:textId="0744A4F0" w:rsidR="005C7961" w:rsidRPr="00627DA0" w:rsidRDefault="007D0883" w:rsidP="0017288F">
            <w:pPr>
              <w:jc w:val="left"/>
              <w:rPr>
                <w:rFonts w:cs="Calibri Light"/>
                <w:sz w:val="20"/>
                <w:szCs w:val="20"/>
              </w:rPr>
            </w:pPr>
            <w:r w:rsidRPr="00627DA0">
              <w:rPr>
                <w:rFonts w:cs="Calibri Light"/>
                <w:sz w:val="20"/>
                <w:szCs w:val="20"/>
              </w:rPr>
              <w:t>The 10% credit used in the measure analyses can be found in the ProCost files, on cell C29 of the ProData tab.</w:t>
            </w:r>
          </w:p>
        </w:tc>
      </w:tr>
    </w:tbl>
    <w:p w14:paraId="3908FCBE" w14:textId="77777777" w:rsidR="0051699E" w:rsidRPr="00627DA0" w:rsidRDefault="0051699E" w:rsidP="0051699E"/>
    <w:p w14:paraId="6D6712C9" w14:textId="1389738C" w:rsidR="00120BC0" w:rsidRPr="00627DA0" w:rsidRDefault="00120BC0" w:rsidP="008B1C4A">
      <w:r w:rsidRPr="00627DA0">
        <w:br w:type="page"/>
      </w:r>
    </w:p>
    <w:p w14:paraId="0CBDEE9F" w14:textId="77777777" w:rsidR="00C3184A" w:rsidRPr="00627DA0" w:rsidRDefault="00C3184A" w:rsidP="00C3184A">
      <w:pPr>
        <w:pStyle w:val="Heading1"/>
      </w:pPr>
      <w:bookmarkStart w:id="136" w:name="_Ref138847606"/>
      <w:bookmarkStart w:id="137" w:name="_Ref138848087"/>
      <w:bookmarkStart w:id="138" w:name="_Ref139030896"/>
      <w:bookmarkStart w:id="139" w:name="_Toc140047111"/>
      <w:bookmarkStart w:id="140" w:name="_Toc207870687"/>
      <w:bookmarkEnd w:id="73"/>
      <w:r w:rsidRPr="00627DA0">
        <w:lastRenderedPageBreak/>
        <w:t>Appendix IV: Avoided Costs</w:t>
      </w:r>
      <w:bookmarkEnd w:id="136"/>
      <w:bookmarkEnd w:id="137"/>
      <w:bookmarkEnd w:id="138"/>
      <w:bookmarkEnd w:id="139"/>
      <w:bookmarkEnd w:id="140"/>
    </w:p>
    <w:p w14:paraId="0459FDC1" w14:textId="77777777" w:rsidR="00A11194" w:rsidRPr="00627DA0" w:rsidRDefault="00A11194" w:rsidP="00A11194">
      <w:bookmarkStart w:id="141" w:name="_Hlk132706829"/>
      <w:bookmarkEnd w:id="141"/>
      <w:r w:rsidRPr="00627DA0">
        <w:t>The methodology used to conduct conservation potential assessments for electric utilities in the State of Washington is dictated by the requirements of the Energy Independence Act (EIA) and the Clean Energy Transformation Act (CETA). Specifically, WAC 194-37-070 requires utilities to determine the economic, or cost-effective, potential by “comparing the total resource cost of conservation measures to the total cost of other resources available to meet expected demand for electricity and capacity.”</w:t>
      </w:r>
      <w:r w:rsidRPr="00627DA0">
        <w:rPr>
          <w:rStyle w:val="FootnoteReference"/>
          <w:rFonts w:asciiTheme="majorHAnsi" w:hAnsiTheme="majorHAnsi" w:cstheme="majorHAnsi"/>
        </w:rPr>
        <w:footnoteReference w:id="8"/>
      </w:r>
      <w:r w:rsidRPr="00627DA0">
        <w:t xml:space="preserve"> The CPA will determine the cost-effectiveness of conservation measures through a benefit-cost ratio approach, which uses the avoided costs of energy efficiency to represent the costs avoided by acquiring efficiency instead of other resources. The EIA specifies that these avoided costs applied to energy efficiency measures include the following components:</w:t>
      </w:r>
    </w:p>
    <w:p w14:paraId="0B688033" w14:textId="77777777" w:rsidR="00A11194" w:rsidRPr="00627DA0" w:rsidRDefault="00A11194" w:rsidP="00A11194">
      <w:pPr>
        <w:pStyle w:val="ListParagraph"/>
        <w:numPr>
          <w:ilvl w:val="0"/>
          <w:numId w:val="12"/>
        </w:numPr>
      </w:pPr>
      <w:r w:rsidRPr="00627DA0">
        <w:t>Time-differentiated energy costs equal to a forecast of regional market prices</w:t>
      </w:r>
    </w:p>
    <w:p w14:paraId="430AE903" w14:textId="77777777" w:rsidR="00A11194" w:rsidRPr="00627DA0" w:rsidRDefault="00A11194" w:rsidP="00A11194">
      <w:pPr>
        <w:pStyle w:val="ListParagraph"/>
        <w:numPr>
          <w:ilvl w:val="0"/>
          <w:numId w:val="12"/>
        </w:numPr>
      </w:pPr>
      <w:r w:rsidRPr="00627DA0">
        <w:t>Deferred capacity expansion costs for the transmission and distribution system</w:t>
      </w:r>
    </w:p>
    <w:p w14:paraId="1499F2AE" w14:textId="77777777" w:rsidR="00A11194" w:rsidRPr="00627DA0" w:rsidRDefault="00A11194" w:rsidP="00A11194">
      <w:pPr>
        <w:pStyle w:val="ListParagraph"/>
        <w:numPr>
          <w:ilvl w:val="0"/>
          <w:numId w:val="12"/>
        </w:numPr>
      </w:pPr>
      <w:r w:rsidRPr="00627DA0">
        <w:t>Deferred generation capacity costs consistent with each measure’s contribution to system peak capacity savings</w:t>
      </w:r>
    </w:p>
    <w:p w14:paraId="70FFC7D6" w14:textId="77777777" w:rsidR="00A11194" w:rsidRPr="00627DA0" w:rsidRDefault="00A11194" w:rsidP="00A11194">
      <w:pPr>
        <w:pStyle w:val="ListParagraph"/>
        <w:numPr>
          <w:ilvl w:val="0"/>
          <w:numId w:val="12"/>
        </w:numPr>
      </w:pPr>
      <w:r w:rsidRPr="00627DA0">
        <w:t>The social cost of carbon emissions from avoided non-conservation resources</w:t>
      </w:r>
    </w:p>
    <w:p w14:paraId="1FA259A6" w14:textId="77777777" w:rsidR="00A11194" w:rsidRPr="00627DA0" w:rsidRDefault="00A11194" w:rsidP="00A11194">
      <w:pPr>
        <w:pStyle w:val="ListParagraph"/>
        <w:numPr>
          <w:ilvl w:val="0"/>
          <w:numId w:val="12"/>
        </w:numPr>
      </w:pPr>
      <w:r w:rsidRPr="00627DA0">
        <w:t>A risk mitigation credit to reflect the additional value of conservation not accounted for in other inputs</w:t>
      </w:r>
    </w:p>
    <w:p w14:paraId="3256075A" w14:textId="77777777" w:rsidR="00A11194" w:rsidRPr="00627DA0" w:rsidRDefault="00A11194" w:rsidP="00A11194">
      <w:pPr>
        <w:pStyle w:val="ListParagraph"/>
        <w:numPr>
          <w:ilvl w:val="0"/>
          <w:numId w:val="12"/>
        </w:numPr>
      </w:pPr>
      <w:r w:rsidRPr="00627DA0">
        <w:t>A 10% bonus for energy and capacity benefits of conservation measures, as defined by the Pacific Northwest Electric Power Planning and Conservation Act</w:t>
      </w:r>
    </w:p>
    <w:p w14:paraId="2964DD91" w14:textId="77777777" w:rsidR="00A11194" w:rsidRPr="00627DA0" w:rsidRDefault="00A11194" w:rsidP="00A11194">
      <w:pPr>
        <w:ind w:left="360"/>
      </w:pPr>
      <w:r w:rsidRPr="00627DA0">
        <w:t>In addition to these requirements, Washington’s CETA requires the use of specific values for the social cost of carbon.</w:t>
      </w:r>
      <w:r w:rsidRPr="00627DA0">
        <w:rPr>
          <w:rStyle w:val="FootnoteReference"/>
        </w:rPr>
        <w:footnoteReference w:id="9"/>
      </w:r>
      <w:r w:rsidRPr="00627DA0">
        <w:t xml:space="preserve"> The project team has also included the value of avoided renewable portfolio standard compliance costs as energy efficiency can reduce these costs.</w:t>
      </w:r>
    </w:p>
    <w:p w14:paraId="1D94BD4C" w14:textId="77777777" w:rsidR="00A11194" w:rsidRPr="00627DA0" w:rsidRDefault="00A11194" w:rsidP="00A11194"/>
    <w:p w14:paraId="6E2EDA3C" w14:textId="77777777" w:rsidR="00A11194" w:rsidRPr="00627DA0" w:rsidRDefault="00A11194" w:rsidP="00A11194">
      <w:r w:rsidRPr="00627DA0">
        <w:t>The CETA requirements for demand response potential assessments are less specific but do clarify that utilities must assess potential for demand response that is “cost-effective, reliable, and feasible”</w:t>
      </w:r>
      <w:r w:rsidRPr="00627DA0">
        <w:rPr>
          <w:rStyle w:val="FootnoteReference"/>
        </w:rPr>
        <w:footnoteReference w:id="10"/>
      </w:r>
      <w:r w:rsidRPr="00627DA0">
        <w:rPr>
          <w:rFonts w:ascii="Open Sans" w:hAnsi="Open Sans" w:cs="Open Sans"/>
          <w:color w:val="000000"/>
          <w:shd w:val="clear" w:color="auto" w:fill="FFFFFF"/>
        </w:rPr>
        <w:t xml:space="preserve">, </w:t>
      </w:r>
      <w:r w:rsidRPr="00627DA0">
        <w:t xml:space="preserve">and targets should be consistent with the utility’s resource plan for distributed resources (such as energy efficiency). Therefore, the project team relied on the same avoided cost inputs for the DRPA as the CPA when the values were applicable. </w:t>
      </w:r>
    </w:p>
    <w:p w14:paraId="16771088" w14:textId="642CA29D" w:rsidR="00A11194" w:rsidRPr="00627DA0" w:rsidRDefault="00A11194" w:rsidP="00A11194">
      <w:r w:rsidRPr="00627DA0">
        <w:t xml:space="preserve">This </w:t>
      </w:r>
      <w:r w:rsidR="00A14A73" w:rsidRPr="00627DA0">
        <w:t>appendix</w:t>
      </w:r>
      <w:r w:rsidRPr="00627DA0">
        <w:t xml:space="preserve"> discusses each of these inputs in detail in the following sections.</w:t>
      </w:r>
    </w:p>
    <w:p w14:paraId="70C1F810" w14:textId="77777777" w:rsidR="00A11194" w:rsidRPr="00627DA0" w:rsidRDefault="00A11194" w:rsidP="00A11194">
      <w:pPr>
        <w:pStyle w:val="Heading2"/>
      </w:pPr>
      <w:bookmarkStart w:id="142" w:name="_Toc207870688"/>
      <w:r w:rsidRPr="00627DA0">
        <w:t>Avoided Energy Costs</w:t>
      </w:r>
      <w:bookmarkEnd w:id="142"/>
    </w:p>
    <w:p w14:paraId="5C5662AA" w14:textId="77777777" w:rsidR="00A11194" w:rsidRPr="00627DA0" w:rsidRDefault="00A11194" w:rsidP="00A11194">
      <w:r w:rsidRPr="00627DA0">
        <w:t>Avoided energy costs are the energy costs avoided by Inland Power through the acquisition of energy efficiency instead of supply-side resources. For every megawatt-hour of conservation achieved, Inland Power can avoid the purchase of one megawatt-hour of energy or sell one additional megawatt-hour of excess energy.</w:t>
      </w:r>
    </w:p>
    <w:p w14:paraId="7914007A" w14:textId="77777777" w:rsidR="00A11194" w:rsidRPr="00627DA0" w:rsidRDefault="00A11194" w:rsidP="00A11194">
      <w:r w:rsidRPr="00627DA0">
        <w:lastRenderedPageBreak/>
        <w:t>For this CPA, Inland Power provided a forecast of monthly on- and off-peak energy prices at the Mid-Columbia trading hub. The forecast was prepared on July 7, 2025, and the prices cover a period extending to December of 2033.</w:t>
      </w:r>
    </w:p>
    <w:p w14:paraId="0F6337AB" w14:textId="4155DF8E" w:rsidR="00A11194" w:rsidRPr="00627DA0" w:rsidRDefault="00A11194" w:rsidP="00A11194">
      <w:r w:rsidRPr="00627DA0">
        <w:t xml:space="preserve">To benchmark these prices, the project team compared them to monthly on- and off-peak price futures for the Mid-Columbia trading hub reported by the Intercontinental Exchange on July 17, 2025. Comparisons of the two sources are shown in </w:t>
      </w:r>
      <w:r w:rsidRPr="00627DA0">
        <w:fldChar w:fldCharType="begin"/>
      </w:r>
      <w:r w:rsidRPr="00627DA0">
        <w:instrText xml:space="preserve"> REF _Ref197314537 \h </w:instrText>
      </w:r>
      <w:r w:rsidRPr="00627DA0">
        <w:fldChar w:fldCharType="separate"/>
      </w:r>
      <w:r w:rsidR="00431297" w:rsidRPr="00627DA0">
        <w:t>Figure 25</w:t>
      </w:r>
      <w:r w:rsidRPr="00627DA0">
        <w:fldChar w:fldCharType="end"/>
      </w:r>
      <w:r w:rsidRPr="00627DA0">
        <w:t xml:space="preserve"> and </w:t>
      </w:r>
      <w:r w:rsidRPr="00627DA0">
        <w:fldChar w:fldCharType="begin"/>
      </w:r>
      <w:r w:rsidRPr="00627DA0">
        <w:instrText xml:space="preserve"> REF _Ref197314540 \h </w:instrText>
      </w:r>
      <w:r w:rsidRPr="00627DA0">
        <w:fldChar w:fldCharType="separate"/>
      </w:r>
      <w:r w:rsidR="00431297" w:rsidRPr="00627DA0">
        <w:t>Figure 26</w:t>
      </w:r>
      <w:r w:rsidRPr="00627DA0">
        <w:fldChar w:fldCharType="end"/>
      </w:r>
      <w:r w:rsidRPr="00627DA0">
        <w:t>. While there are some small differences, overall, the prices are quite similar. The small differences are expected based on the difference in the date on which the forecasts were prepared.</w:t>
      </w:r>
    </w:p>
    <w:p w14:paraId="6C5B4B99" w14:textId="6618015A" w:rsidR="00A11194" w:rsidRPr="00627DA0" w:rsidRDefault="00A11194" w:rsidP="00A11194">
      <w:pPr>
        <w:pStyle w:val="Caption"/>
      </w:pPr>
      <w:bookmarkStart w:id="143" w:name="_Ref197314537"/>
      <w:bookmarkStart w:id="144" w:name="_Toc207870724"/>
      <w:r w:rsidRPr="00627DA0">
        <w:t xml:space="preserve">Figure </w:t>
      </w:r>
      <w:fldSimple w:instr=" SEQ Figure \* ARABIC ">
        <w:r w:rsidR="00431297" w:rsidRPr="00627DA0">
          <w:t>25</w:t>
        </w:r>
      </w:fldSimple>
      <w:bookmarkEnd w:id="143"/>
      <w:r w:rsidRPr="00627DA0">
        <w:t>: Benchmarking of On-Peak Prices</w:t>
      </w:r>
      <w:bookmarkEnd w:id="144"/>
    </w:p>
    <w:p w14:paraId="05701A6E" w14:textId="77777777" w:rsidR="00A11194" w:rsidRPr="00627DA0" w:rsidRDefault="00A11194" w:rsidP="00A11194">
      <w:r w:rsidRPr="00627DA0">
        <w:drawing>
          <wp:inline distT="0" distB="0" distL="0" distR="0" wp14:anchorId="727ECDC9" wp14:editId="05A9965A">
            <wp:extent cx="5940845" cy="2741929"/>
            <wp:effectExtent l="0" t="0" r="3175" b="1905"/>
            <wp:docPr id="104527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091"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940845" cy="2741929"/>
                    </a:xfrm>
                    <a:prstGeom prst="rect">
                      <a:avLst/>
                    </a:prstGeom>
                    <a:noFill/>
                    <a:ln>
                      <a:noFill/>
                    </a:ln>
                  </pic:spPr>
                </pic:pic>
              </a:graphicData>
            </a:graphic>
          </wp:inline>
        </w:drawing>
      </w:r>
    </w:p>
    <w:p w14:paraId="38B2AC87" w14:textId="77777777" w:rsidR="00A11194" w:rsidRPr="00627DA0" w:rsidRDefault="00A11194" w:rsidP="00A11194"/>
    <w:p w14:paraId="39918438" w14:textId="73B5AF03" w:rsidR="00A11194" w:rsidRPr="00627DA0" w:rsidRDefault="00A11194" w:rsidP="00A11194">
      <w:pPr>
        <w:pStyle w:val="Caption"/>
      </w:pPr>
      <w:bookmarkStart w:id="145" w:name="_Ref197314540"/>
      <w:bookmarkStart w:id="146" w:name="_Toc207870725"/>
      <w:r w:rsidRPr="00627DA0">
        <w:t xml:space="preserve">Figure </w:t>
      </w:r>
      <w:fldSimple w:instr=" SEQ Figure \* ARABIC ">
        <w:r w:rsidR="00431297" w:rsidRPr="00627DA0">
          <w:t>26</w:t>
        </w:r>
      </w:fldSimple>
      <w:bookmarkEnd w:id="145"/>
      <w:r w:rsidRPr="00627DA0">
        <w:t>: Benchmarking of Off-Peak Prices</w:t>
      </w:r>
      <w:bookmarkEnd w:id="146"/>
    </w:p>
    <w:p w14:paraId="1E8A35A2" w14:textId="77777777" w:rsidR="00A11194" w:rsidRPr="00627DA0" w:rsidRDefault="00A11194" w:rsidP="00A11194">
      <w:r w:rsidRPr="00627DA0">
        <w:drawing>
          <wp:inline distT="0" distB="0" distL="0" distR="0" wp14:anchorId="55F9B7C3" wp14:editId="680B8F1A">
            <wp:extent cx="5940845" cy="2741929"/>
            <wp:effectExtent l="0" t="0" r="3175" b="1905"/>
            <wp:docPr id="1307091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1513"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940845" cy="2741929"/>
                    </a:xfrm>
                    <a:prstGeom prst="rect">
                      <a:avLst/>
                    </a:prstGeom>
                    <a:noFill/>
                    <a:ln>
                      <a:noFill/>
                    </a:ln>
                  </pic:spPr>
                </pic:pic>
              </a:graphicData>
            </a:graphic>
          </wp:inline>
        </w:drawing>
      </w:r>
    </w:p>
    <w:p w14:paraId="373840CC" w14:textId="260172A6" w:rsidR="00A11194" w:rsidRPr="00627DA0" w:rsidRDefault="00A11194" w:rsidP="00A11194">
      <w:r w:rsidRPr="00627DA0">
        <w:lastRenderedPageBreak/>
        <w:t>To develop a forecast that covers the full 20-year study period of this CPA, the project team extended the Inland Power forecast through 2045. After reviewing market price forecasts from other utilities, including Puget Sound Energy</w:t>
      </w:r>
      <w:r w:rsidRPr="00627DA0">
        <w:rPr>
          <w:rStyle w:val="FootnoteReference"/>
        </w:rPr>
        <w:footnoteReference w:id="11"/>
      </w:r>
      <w:r w:rsidRPr="00627DA0">
        <w:t>, Pacific Power</w:t>
      </w:r>
      <w:r w:rsidRPr="00627DA0">
        <w:rPr>
          <w:rStyle w:val="FootnoteReference"/>
        </w:rPr>
        <w:footnoteReference w:id="12"/>
      </w:r>
      <w:r w:rsidRPr="00627DA0">
        <w:t>, and the market prices used for energy efficiency in Oregon</w:t>
      </w:r>
      <w:r w:rsidRPr="00627DA0">
        <w:rPr>
          <w:rStyle w:val="FootnoteReference"/>
        </w:rPr>
        <w:footnoteReference w:id="13"/>
      </w:r>
      <w:r w:rsidRPr="00627DA0">
        <w:t xml:space="preserve">, the project team extended the forecast by extending the values from 2033. </w:t>
      </w:r>
      <w:r w:rsidRPr="00627DA0">
        <w:fldChar w:fldCharType="begin"/>
      </w:r>
      <w:r w:rsidRPr="00627DA0">
        <w:instrText xml:space="preserve"> REF _Ref62044885 \h  \* MERGEFORMAT </w:instrText>
      </w:r>
      <w:r w:rsidRPr="00627DA0">
        <w:fldChar w:fldCharType="separate"/>
      </w:r>
      <w:r w:rsidR="00431297" w:rsidRPr="00627DA0">
        <w:t>Figure 27</w:t>
      </w:r>
      <w:r w:rsidRPr="00627DA0">
        <w:fldChar w:fldCharType="end"/>
      </w:r>
      <w:r w:rsidRPr="00627DA0">
        <w:t xml:space="preserve"> shows the resulting on- and off-peak prices resulting from this process. </w:t>
      </w:r>
    </w:p>
    <w:p w14:paraId="041AADC0" w14:textId="75E0898B" w:rsidR="00A11194" w:rsidRPr="00627DA0" w:rsidRDefault="00A11194" w:rsidP="00A11194">
      <w:pPr>
        <w:pStyle w:val="Caption"/>
      </w:pPr>
      <w:bookmarkStart w:id="147" w:name="_Ref62044885"/>
      <w:bookmarkStart w:id="148" w:name="_Toc207870726"/>
      <w:r w:rsidRPr="00627DA0">
        <w:t xml:space="preserve">Figure </w:t>
      </w:r>
      <w:fldSimple w:instr=" SEQ Figure \* ARABIC ">
        <w:r w:rsidR="00431297" w:rsidRPr="00627DA0">
          <w:t>27</w:t>
        </w:r>
      </w:fldSimple>
      <w:bookmarkEnd w:id="147"/>
      <w:r w:rsidRPr="00627DA0">
        <w:t>: On- and Off-Peak Price Forecast</w:t>
      </w:r>
      <w:bookmarkEnd w:id="148"/>
    </w:p>
    <w:p w14:paraId="0E8857D9" w14:textId="77777777" w:rsidR="00A11194" w:rsidRPr="00627DA0" w:rsidRDefault="00A11194" w:rsidP="00A11194">
      <w:pPr>
        <w:pStyle w:val="Caption"/>
        <w:spacing w:before="240"/>
      </w:pPr>
      <w:bookmarkStart w:id="149" w:name="_Ref62045059"/>
      <w:r w:rsidRPr="00627DA0">
        <w:drawing>
          <wp:inline distT="0" distB="0" distL="0" distR="0" wp14:anchorId="1E7DBB6E" wp14:editId="3EB71852">
            <wp:extent cx="5562441" cy="2567281"/>
            <wp:effectExtent l="0" t="0" r="635" b="5080"/>
            <wp:docPr id="1639922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22838"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62441" cy="2567281"/>
                    </a:xfrm>
                    <a:prstGeom prst="rect">
                      <a:avLst/>
                    </a:prstGeom>
                    <a:noFill/>
                    <a:ln>
                      <a:noFill/>
                    </a:ln>
                  </pic:spPr>
                </pic:pic>
              </a:graphicData>
            </a:graphic>
          </wp:inline>
        </w:drawing>
      </w:r>
    </w:p>
    <w:p w14:paraId="1F9EE30C" w14:textId="77777777" w:rsidR="00A11194" w:rsidRPr="00627DA0" w:rsidRDefault="00A11194" w:rsidP="00A11194">
      <w:pPr>
        <w:pStyle w:val="Caption"/>
        <w:spacing w:before="240"/>
      </w:pPr>
    </w:p>
    <w:bookmarkEnd w:id="149"/>
    <w:p w14:paraId="2D78F437" w14:textId="77777777" w:rsidR="00A11194" w:rsidRPr="00627DA0" w:rsidRDefault="00A11194" w:rsidP="00A11194">
      <w:pPr>
        <w:jc w:val="left"/>
        <w:rPr>
          <w:iCs/>
          <w:color w:val="595959" w:themeColor="text1" w:themeTint="A6"/>
          <w:sz w:val="20"/>
          <w:szCs w:val="18"/>
        </w:rPr>
      </w:pPr>
      <w:r w:rsidRPr="00627DA0">
        <w:t xml:space="preserve">These values will ultimately be converted to 2016 dollars for consistency with the measure cost assumptions used in the 2021 Power Plan, which are also expressed in 2016 dollars. The levelized value of the 20-year price forecast is $35/MWh (2016$), a decrease from the $52/MWh levelized value from Inland Power’s 2023 CPA. </w:t>
      </w:r>
    </w:p>
    <w:p w14:paraId="602AEC9A" w14:textId="77777777" w:rsidR="00431297" w:rsidRPr="00627DA0" w:rsidRDefault="00A11194" w:rsidP="00A11194">
      <w:pPr>
        <w:rPr>
          <w:iCs/>
          <w:color w:val="595959" w:themeColor="text1" w:themeTint="A6"/>
          <w:sz w:val="20"/>
          <w:szCs w:val="18"/>
        </w:rPr>
      </w:pPr>
      <w:r w:rsidRPr="00627DA0">
        <w:t xml:space="preserve">The project team also created high and low variations of this forecast to be used in a sensitivity analysis, since the actual future values of these prices are uncertain. To develop the forecast, the project team assumed that the high and low prices would vary by approximately 20% in the near term and 80% in the long term, relative to the base case price forecast. A similar approach was used in Inland Power’s prior CPA, which was based on the variation observed in price forecasts in the 2021 Power Plan. The project team applied this variation to the forecast described above to create high and low forecasts. The resulting forecasts for on- and off-peak prices are shown in </w:t>
      </w:r>
      <w:r w:rsidRPr="00627DA0">
        <w:fldChar w:fldCharType="begin"/>
      </w:r>
      <w:r w:rsidRPr="00627DA0">
        <w:instrText xml:space="preserve"> REF _Ref62113441 \h </w:instrText>
      </w:r>
      <w:r w:rsidRPr="00627DA0">
        <w:fldChar w:fldCharType="separate"/>
      </w:r>
    </w:p>
    <w:p w14:paraId="143DA5F2" w14:textId="03A463D1" w:rsidR="00A11194" w:rsidRPr="00627DA0" w:rsidRDefault="00431297" w:rsidP="00F61C49">
      <w:pPr>
        <w:jc w:val="left"/>
        <w:rPr>
          <w:iCs/>
          <w:color w:val="595959" w:themeColor="text1" w:themeTint="A6"/>
          <w:sz w:val="20"/>
          <w:szCs w:val="18"/>
        </w:rPr>
      </w:pPr>
      <w:r w:rsidRPr="00627DA0">
        <w:t>Figure 28</w:t>
      </w:r>
      <w:r w:rsidR="00A11194" w:rsidRPr="00627DA0">
        <w:fldChar w:fldCharType="end"/>
      </w:r>
      <w:r w:rsidR="00A11194" w:rsidRPr="00627DA0">
        <w:t xml:space="preserve"> and </w:t>
      </w:r>
      <w:r w:rsidR="00A11194" w:rsidRPr="00627DA0">
        <w:fldChar w:fldCharType="begin"/>
      </w:r>
      <w:r w:rsidR="00A11194" w:rsidRPr="00627DA0">
        <w:instrText xml:space="preserve"> REF _Ref62113447 \h </w:instrText>
      </w:r>
      <w:r w:rsidR="00A11194" w:rsidRPr="00627DA0">
        <w:fldChar w:fldCharType="separate"/>
      </w:r>
      <w:r w:rsidRPr="00627DA0">
        <w:t>Figure 29</w:t>
      </w:r>
      <w:r w:rsidR="00A11194" w:rsidRPr="00627DA0">
        <w:fldChar w:fldCharType="end"/>
      </w:r>
      <w:r w:rsidR="00A11194" w:rsidRPr="00627DA0">
        <w:t xml:space="preserve"> below.</w:t>
      </w:r>
      <w:bookmarkStart w:id="150" w:name="_Ref62113441"/>
    </w:p>
    <w:p w14:paraId="1C13DEBA" w14:textId="752F22CA" w:rsidR="00A11194" w:rsidRPr="00627DA0" w:rsidRDefault="00A11194" w:rsidP="00A11194">
      <w:pPr>
        <w:pStyle w:val="Caption"/>
      </w:pPr>
      <w:bookmarkStart w:id="151" w:name="_Toc207870727"/>
      <w:r w:rsidRPr="00627DA0">
        <w:lastRenderedPageBreak/>
        <w:t xml:space="preserve">Figure </w:t>
      </w:r>
      <w:fldSimple w:instr=" SEQ Figure \* ARABIC ">
        <w:r w:rsidR="00431297" w:rsidRPr="00627DA0">
          <w:t>28</w:t>
        </w:r>
      </w:fldSimple>
      <w:bookmarkEnd w:id="150"/>
      <w:r w:rsidRPr="00627DA0">
        <w:t>: Comparison of On-Peak Price Sensitivities</w:t>
      </w:r>
      <w:bookmarkEnd w:id="151"/>
    </w:p>
    <w:p w14:paraId="415446AF" w14:textId="77777777" w:rsidR="00A11194" w:rsidRPr="00627DA0" w:rsidRDefault="00A11194" w:rsidP="00A11194">
      <w:pPr>
        <w:jc w:val="left"/>
        <w:rPr>
          <w:iCs/>
          <w:color w:val="595959" w:themeColor="text1" w:themeTint="A6"/>
          <w:sz w:val="20"/>
          <w:szCs w:val="18"/>
        </w:rPr>
      </w:pPr>
      <w:bookmarkStart w:id="152" w:name="_Ref62113447"/>
      <w:r w:rsidRPr="00627DA0">
        <w:rPr>
          <w:iCs/>
          <w:color w:val="595959" w:themeColor="text1" w:themeTint="A6"/>
          <w:sz w:val="20"/>
          <w:szCs w:val="18"/>
        </w:rPr>
        <w:drawing>
          <wp:inline distT="0" distB="0" distL="0" distR="0" wp14:anchorId="122AE3DB" wp14:editId="1E8DBDCD">
            <wp:extent cx="5940847" cy="2741930"/>
            <wp:effectExtent l="0" t="0" r="3175" b="1270"/>
            <wp:docPr id="543140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40933"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40847" cy="2741930"/>
                    </a:xfrm>
                    <a:prstGeom prst="rect">
                      <a:avLst/>
                    </a:prstGeom>
                    <a:noFill/>
                    <a:ln>
                      <a:noFill/>
                    </a:ln>
                  </pic:spPr>
                </pic:pic>
              </a:graphicData>
            </a:graphic>
          </wp:inline>
        </w:drawing>
      </w:r>
    </w:p>
    <w:p w14:paraId="59287B7E" w14:textId="22836577" w:rsidR="00A11194" w:rsidRPr="00627DA0" w:rsidRDefault="00A11194" w:rsidP="00A11194">
      <w:pPr>
        <w:pStyle w:val="Caption"/>
      </w:pPr>
      <w:bookmarkStart w:id="153" w:name="_Toc207870728"/>
      <w:r w:rsidRPr="00627DA0">
        <w:t xml:space="preserve">Figure </w:t>
      </w:r>
      <w:fldSimple w:instr=" SEQ Figure \* ARABIC ">
        <w:r w:rsidR="00431297" w:rsidRPr="00627DA0">
          <w:t>29</w:t>
        </w:r>
      </w:fldSimple>
      <w:bookmarkEnd w:id="152"/>
      <w:r w:rsidRPr="00627DA0">
        <w:t>: Comparison of Off-Peak Price Sensitivities</w:t>
      </w:r>
      <w:bookmarkEnd w:id="153"/>
    </w:p>
    <w:p w14:paraId="01167B67" w14:textId="77777777" w:rsidR="00A11194" w:rsidRPr="00627DA0" w:rsidRDefault="00A11194" w:rsidP="00A11194">
      <w:r w:rsidRPr="00627DA0">
        <w:drawing>
          <wp:inline distT="0" distB="0" distL="0" distR="0" wp14:anchorId="05F4DE51" wp14:editId="0FB49A3D">
            <wp:extent cx="5940847" cy="2741930"/>
            <wp:effectExtent l="0" t="0" r="3175" b="1270"/>
            <wp:docPr id="108407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857"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940847" cy="2741930"/>
                    </a:xfrm>
                    <a:prstGeom prst="rect">
                      <a:avLst/>
                    </a:prstGeom>
                    <a:noFill/>
                    <a:ln>
                      <a:noFill/>
                    </a:ln>
                  </pic:spPr>
                </pic:pic>
              </a:graphicData>
            </a:graphic>
          </wp:inline>
        </w:drawing>
      </w:r>
    </w:p>
    <w:p w14:paraId="5688BDBD" w14:textId="77777777" w:rsidR="00A11194" w:rsidRPr="00627DA0" w:rsidRDefault="00A11194" w:rsidP="00A11194"/>
    <w:p w14:paraId="56E3D2A7" w14:textId="77777777" w:rsidR="00A11194" w:rsidRPr="00627DA0" w:rsidRDefault="00A11194" w:rsidP="00A11194">
      <w:pPr>
        <w:pStyle w:val="Heading2"/>
      </w:pPr>
      <w:bookmarkStart w:id="154" w:name="_Toc207870689"/>
      <w:r w:rsidRPr="00627DA0">
        <w:t>Deferred Transmission and Distribution Capacity Costs</w:t>
      </w:r>
      <w:bookmarkEnd w:id="154"/>
    </w:p>
    <w:p w14:paraId="7D15318C" w14:textId="77777777" w:rsidR="00A11194" w:rsidRPr="00627DA0" w:rsidRDefault="00A11194" w:rsidP="00A11194">
      <w:r w:rsidRPr="00627DA0">
        <w:t xml:space="preserve">Unlike supply-side resources, energy efficiency and demand response do not require transmission and distribution infrastructure. Instead, these resources free up capacity in the transmission and distributions systems by reducing the peak demands and, over time, can help defer or avoid future capacity expansions and the associated capital costs. </w:t>
      </w:r>
    </w:p>
    <w:p w14:paraId="311AC2BE" w14:textId="77777777" w:rsidR="00A11194" w:rsidRPr="00627DA0" w:rsidRDefault="00A11194" w:rsidP="00A11194">
      <w:r w:rsidRPr="00627DA0">
        <w:t xml:space="preserve">In the development of the 2021 Power Plan, the Council developed a standardized methodology and surveyed the region to calculate these values. This CPA and DRPA use the values developed by the Council through that process: $3.54 and $7.82 per kW-year (2016$) for transmission and distribution capacity, respectively. These values were used in Inland Power’s 2023 CPA. While the Council has </w:t>
      </w:r>
      <w:r w:rsidRPr="00627DA0">
        <w:lastRenderedPageBreak/>
        <w:t>prepared draft updates to these values as part of the 9</w:t>
      </w:r>
      <w:r w:rsidRPr="00627DA0">
        <w:rPr>
          <w:vertAlign w:val="superscript"/>
        </w:rPr>
        <w:t>th</w:t>
      </w:r>
      <w:r w:rsidRPr="00627DA0">
        <w:t xml:space="preserve"> Power Plan, Inland Power is electing to continue using the 2021 Plan values until the 9</w:t>
      </w:r>
      <w:r w:rsidRPr="00627DA0">
        <w:rPr>
          <w:vertAlign w:val="superscript"/>
        </w:rPr>
        <w:t>th</w:t>
      </w:r>
      <w:r w:rsidRPr="00627DA0">
        <w:t xml:space="preserve"> plan values are finalized, or additional Inland Power specific data can be used to inform this assumption.</w:t>
      </w:r>
    </w:p>
    <w:p w14:paraId="6AADC8AA" w14:textId="77777777" w:rsidR="00A11194" w:rsidRPr="00627DA0" w:rsidRDefault="00A11194" w:rsidP="00A11194">
      <w:r w:rsidRPr="00627DA0">
        <w:t>These values are applied to energy efficiency and demand response measures based on each measure’s reduction in demand that is coincident with the timing of the transmission and distribution system peaks.</w:t>
      </w:r>
    </w:p>
    <w:p w14:paraId="27F81333" w14:textId="77777777" w:rsidR="00A11194" w:rsidRPr="00627DA0" w:rsidRDefault="00A11194" w:rsidP="00A11194">
      <w:pPr>
        <w:pStyle w:val="Heading2"/>
      </w:pPr>
      <w:bookmarkStart w:id="155" w:name="_Toc207870690"/>
      <w:r w:rsidRPr="00627DA0">
        <w:t>Deferred Generation Capacity Costs</w:t>
      </w:r>
      <w:bookmarkEnd w:id="155"/>
    </w:p>
    <w:p w14:paraId="73056583" w14:textId="77777777" w:rsidR="00A11194" w:rsidRPr="00627DA0" w:rsidRDefault="00A11194" w:rsidP="00A11194">
      <w:r w:rsidRPr="00627DA0">
        <w:t>Similar to the transmission and distribution systems discussed above, acquiring energy efficiency and demand response resources can also defer or eliminate the costs of new generation resources needed to meet peak demands for electricity.</w:t>
      </w:r>
    </w:p>
    <w:p w14:paraId="31145890" w14:textId="77777777" w:rsidR="00A11194" w:rsidRPr="00627DA0" w:rsidRDefault="00A11194" w:rsidP="00A11194">
      <w:r w:rsidRPr="00627DA0">
        <w:t xml:space="preserve">In the CPA, the project team followed a similar methodology to what was used in Inland Power’s previous CPAs. The project team used BPA’s monthly demand charges as proxy costs for the value of capacity and converted the monthly demand charges to an annual generation capacity value using assumptions about energy efficiency capacity contributions by month. </w:t>
      </w:r>
    </w:p>
    <w:p w14:paraId="74965D75" w14:textId="77777777" w:rsidR="00A11194" w:rsidRPr="00627DA0" w:rsidRDefault="00A11194" w:rsidP="00A11194">
      <w:r w:rsidRPr="00627DA0">
        <w:t>In the base case, the project team assumed that these demand charges would increase by 1.6% each year, consistent with the growth rate observed in recent years, and calculated a 20-year series of annual generation capacity values which were then levelized to calculate the single value that is required for the Council’s ProCost model. This resulted in a base case value of $75/kW-year (2016$), a decrease from the $76/kW-year used in the 2023 CPA. For the low case, no price escalation was assumed, resulting in a value of $65/kW-year. In the high case, the project team used Council’s 2021 Power Plan value, which is $123/kW-year. This value reflects the levelized cost of capacity for a battery storage system and includes expected future cost decreases.</w:t>
      </w:r>
    </w:p>
    <w:p w14:paraId="478C46D7" w14:textId="77777777" w:rsidR="00A11194" w:rsidRPr="00627DA0" w:rsidRDefault="00A11194" w:rsidP="00A11194">
      <w:r w:rsidRPr="00627DA0">
        <w:t xml:space="preserve">In the DRPA, BPA’s monthly values for generation capacity were used directly and applied during the months in which demand response events were likely to be called. </w:t>
      </w:r>
    </w:p>
    <w:p w14:paraId="6B869153" w14:textId="77777777" w:rsidR="00A11194" w:rsidRPr="00627DA0" w:rsidRDefault="00A11194" w:rsidP="00A11194"/>
    <w:p w14:paraId="24821A96" w14:textId="77777777" w:rsidR="00A11194" w:rsidRPr="00627DA0" w:rsidRDefault="00A11194" w:rsidP="00A11194">
      <w:pPr>
        <w:pStyle w:val="Heading2"/>
      </w:pPr>
      <w:bookmarkStart w:id="156" w:name="_Toc207870691"/>
      <w:r w:rsidRPr="00627DA0">
        <w:t>Social Cost of Carbon</w:t>
      </w:r>
      <w:bookmarkEnd w:id="156"/>
    </w:p>
    <w:p w14:paraId="2E42A2AB" w14:textId="77777777" w:rsidR="00A11194" w:rsidRPr="00627DA0" w:rsidRDefault="00A11194" w:rsidP="00A11194">
      <w:r w:rsidRPr="00627DA0">
        <w:t>In addition to avoiding purchases of energy and capacity, energy efficiency measures can avoid emissions of greenhouse gases like carbon dioxide. Washington’s EIA requires that CPAs include the social cost of carbon, which the US EPA defines as a measure of the long-term damage done by a ton of carbon dioxide emissions in a given year. The EPA describes it as including, among other things, changes in agricultural productivity, human health, property damage from increased flood risk, and changes in energy system costs, including increases in the costs of cooling and decreases in heating costs.</w:t>
      </w:r>
      <w:r w:rsidRPr="00627DA0">
        <w:rPr>
          <w:rStyle w:val="FootnoteReference"/>
        </w:rPr>
        <w:footnoteReference w:id="14"/>
      </w:r>
      <w:r w:rsidRPr="00627DA0">
        <w:t xml:space="preserve"> In addition to this requirement, Washington’s CETA requires that utilities use the social cost of carbon values developed by the federal Interagency workgroup using a 2.5% discount rate. These values are used in all avoided cost sensitivities of the CPA. </w:t>
      </w:r>
    </w:p>
    <w:p w14:paraId="4D673A1C" w14:textId="102D671F" w:rsidR="00A11194" w:rsidRPr="00627DA0" w:rsidRDefault="00A11194" w:rsidP="00A11194">
      <w:r w:rsidRPr="00627DA0">
        <w:t xml:space="preserve">To implement the cost of carbon emissions, additional assumptions must be made about the intensity of carbon emissions per unit of energy. This assessment uses an updated forecast of </w:t>
      </w:r>
      <w:r w:rsidRPr="00627DA0">
        <w:lastRenderedPageBreak/>
        <w:t>marginal emissions rates developed by the Council in 2024.</w:t>
      </w:r>
      <w:r w:rsidRPr="00627DA0">
        <w:rPr>
          <w:rStyle w:val="FootnoteReference"/>
        </w:rPr>
        <w:footnoteReference w:id="15"/>
      </w:r>
      <w:r w:rsidRPr="00627DA0">
        <w:t xml:space="preserve"> The average annual values from this analysis are shown in </w:t>
      </w:r>
      <w:r w:rsidRPr="00627DA0">
        <w:fldChar w:fldCharType="begin"/>
      </w:r>
      <w:r w:rsidRPr="00627DA0">
        <w:instrText xml:space="preserve"> REF _Ref195871413 \h </w:instrText>
      </w:r>
      <w:r w:rsidRPr="00627DA0">
        <w:fldChar w:fldCharType="separate"/>
      </w:r>
      <w:r w:rsidR="00431297" w:rsidRPr="00627DA0">
        <w:t>Figure 30</w:t>
      </w:r>
      <w:r w:rsidRPr="00627DA0">
        <w:fldChar w:fldCharType="end"/>
      </w:r>
      <w:r w:rsidRPr="00627DA0">
        <w:t xml:space="preserve"> below. The values start near 1, which is approximately the emissions rate from natural gas turbines and declines over time as the generation resource pool shifts to clean resources over time. </w:t>
      </w:r>
    </w:p>
    <w:p w14:paraId="0C2D22A9" w14:textId="2A986B20" w:rsidR="00A11194" w:rsidRPr="00627DA0" w:rsidRDefault="00A11194" w:rsidP="00A11194">
      <w:pPr>
        <w:pStyle w:val="Caption"/>
      </w:pPr>
      <w:bookmarkStart w:id="157" w:name="_Ref195871413"/>
      <w:bookmarkStart w:id="158" w:name="_Toc207870729"/>
      <w:r w:rsidRPr="00627DA0">
        <w:t xml:space="preserve">Figure </w:t>
      </w:r>
      <w:fldSimple w:instr=" SEQ Figure \* ARABIC ">
        <w:r w:rsidR="00431297" w:rsidRPr="00627DA0">
          <w:t>30</w:t>
        </w:r>
      </w:fldSimple>
      <w:bookmarkEnd w:id="157"/>
      <w:r w:rsidRPr="00627DA0">
        <w:t>: Council Marginal Emissions Rate Forecast</w:t>
      </w:r>
      <w:bookmarkEnd w:id="158"/>
    </w:p>
    <w:p w14:paraId="3A9762BE" w14:textId="77777777" w:rsidR="00A11194" w:rsidRPr="00627DA0" w:rsidRDefault="00A11194" w:rsidP="00A11194">
      <w:r w:rsidRPr="00627DA0">
        <w:drawing>
          <wp:inline distT="0" distB="0" distL="0" distR="0" wp14:anchorId="3AC55438" wp14:editId="3F3CBD03">
            <wp:extent cx="5947869" cy="2821577"/>
            <wp:effectExtent l="0" t="0" r="0" b="0"/>
            <wp:docPr id="816835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891" b="7066"/>
                    <a:stretch/>
                  </pic:blipFill>
                  <pic:spPr bwMode="auto">
                    <a:xfrm>
                      <a:off x="0" y="0"/>
                      <a:ext cx="5948045" cy="2821660"/>
                    </a:xfrm>
                    <a:prstGeom prst="rect">
                      <a:avLst/>
                    </a:prstGeom>
                    <a:noFill/>
                    <a:ln>
                      <a:noFill/>
                    </a:ln>
                    <a:extLst>
                      <a:ext uri="{53640926-AAD7-44D8-BBD7-CCE9431645EC}">
                        <a14:shadowObscured xmlns:a14="http://schemas.microsoft.com/office/drawing/2010/main"/>
                      </a:ext>
                    </a:extLst>
                  </pic:spPr>
                </pic:pic>
              </a:graphicData>
            </a:graphic>
          </wp:inline>
        </w:drawing>
      </w:r>
    </w:p>
    <w:p w14:paraId="5CB3F973" w14:textId="77777777" w:rsidR="00A11194" w:rsidRPr="00627DA0" w:rsidRDefault="00A11194" w:rsidP="00A11194">
      <w:pPr>
        <w:pStyle w:val="Heading2"/>
      </w:pPr>
      <w:bookmarkStart w:id="159" w:name="_Toc207870692"/>
      <w:r w:rsidRPr="00627DA0">
        <w:t>Renewable Portfolio Standard Compliance Costs</w:t>
      </w:r>
      <w:bookmarkEnd w:id="159"/>
    </w:p>
    <w:p w14:paraId="7F75963A" w14:textId="77777777" w:rsidR="00A11194" w:rsidRPr="00627DA0" w:rsidRDefault="00A11194" w:rsidP="00A11194">
      <w:r w:rsidRPr="00627DA0">
        <w:t xml:space="preserve">The renewable portfolio standard established under Washington’s EIA requires that Inland Power source 15% of retail sales from renewable resources. The subsequently passed CETA furthers these requirements, mandating that 100% of sales be greenhouse gas neutral in 2030, with an allowance that up to 20% of the requirement can be achieved through other options, such as the purchase of Renewable Energy Credits (RECs). </w:t>
      </w:r>
    </w:p>
    <w:p w14:paraId="5D112D06" w14:textId="77777777" w:rsidR="00A11194" w:rsidRPr="00627DA0" w:rsidRDefault="00A11194" w:rsidP="00A11194">
      <w:r w:rsidRPr="00627DA0">
        <w:t>Energy efficiency can reduce the cost of complying with these requirements by reducing Inland Power’s overall load. In 2026, a reduction in load of 100 MWh through energy efficiency would reduce the number of RECs required for compliance by 15. Therefore, one megawatt-hour of energy savings is equal to 15% of the cost of a REC. In 2030, it was assumed that marginal energy purchases would also include the purchase of a REC, thus the full price of a REC was added to the energy price after 2030. In 2045, the last year of the study period, CETA’s requirements change, and unbundled RECs are no longer allowed for compliance. However, the combination of market prices and RECs represents a reasonable proxy for clean energy resources.</w:t>
      </w:r>
    </w:p>
    <w:p w14:paraId="76F9260E" w14:textId="77777777" w:rsidR="00A11194" w:rsidRPr="00627DA0" w:rsidRDefault="00A11194" w:rsidP="00A11194">
      <w:r w:rsidRPr="00627DA0">
        <w:t>The project team developed a forecast of REC prices based on input from several Washington utility clients.</w:t>
      </w:r>
    </w:p>
    <w:p w14:paraId="4F35CFFC" w14:textId="77777777" w:rsidR="00A11194" w:rsidRPr="00627DA0" w:rsidRDefault="00A11194" w:rsidP="00A11194">
      <w:pPr>
        <w:pStyle w:val="Heading2"/>
      </w:pPr>
      <w:bookmarkStart w:id="160" w:name="_Toc207870693"/>
      <w:r w:rsidRPr="00627DA0">
        <w:t>Risk Mitigation Credit</w:t>
      </w:r>
      <w:bookmarkEnd w:id="160"/>
    </w:p>
    <w:p w14:paraId="5E78DBC6" w14:textId="77777777" w:rsidR="00A11194" w:rsidRPr="00627DA0" w:rsidRDefault="00A11194" w:rsidP="00A11194">
      <w:r w:rsidRPr="00627DA0">
        <w:t xml:space="preserve">Any purchase of a resource involves risk. The decision to invest is based on uncertain forecasts of loads and market conditions. Investing in energy efficiency can reduce the risks that utilities face by </w:t>
      </w:r>
      <w:r w:rsidRPr="00627DA0">
        <w:lastRenderedPageBreak/>
        <w:t>the fact that it is made in small increments over time, rather than the large, singular sums required for generation resources. A decision not to invest in energy efficiency could result in exposure to higher market prices than forecast, an unneeded infrastructure investment, or one that cannot economically dispatch due to low market prices. While over-investments in energy efficiency are possible, the small and discrete amounts invested in energy efficiency limit the scale of any exposure to this risk.</w:t>
      </w:r>
    </w:p>
    <w:p w14:paraId="5D9423FA" w14:textId="77777777" w:rsidR="00A11194" w:rsidRPr="00627DA0" w:rsidRDefault="00A11194" w:rsidP="00A11194">
      <w:r w:rsidRPr="00627DA0">
        <w:t xml:space="preserve">In its power planning work, the Council develops a risk mitigation credit to account for this risk. This credit accounts for the value of energy efficiency not explicitly included in the other avoided cost values, ensuring that the level of cost-effective energy efficiency is consistent with the outcomes of the power planning process. The credit is determined by identifying the value that results in a level of cost-effective energy efficiency potential that is equivalent to the regional targets set by the Council. </w:t>
      </w:r>
    </w:p>
    <w:p w14:paraId="173520FD" w14:textId="77777777" w:rsidR="00A11194" w:rsidRPr="00627DA0" w:rsidRDefault="00A11194" w:rsidP="00A11194">
      <w:r w:rsidRPr="00627DA0">
        <w:t>In the 2021 Power Plan, the Council determined that no risk credit was necessary after including carbon costs and a generation capacity value in its avoided cost.</w:t>
      </w:r>
    </w:p>
    <w:p w14:paraId="6C3F445A" w14:textId="77777777" w:rsidR="00A11194" w:rsidRPr="00627DA0" w:rsidRDefault="00A11194" w:rsidP="00A11194">
      <w:r w:rsidRPr="00627DA0">
        <w:t>This CPA follows the process used in Inland Power’s previous CPAs and is similar to the process followed by the Council. A sensitivity analysis is used to account for uncertainty in the avoided cost values applied to energy efficiency measures, where present. The variation in energy and capacity values covers a range of possible outcomes and the sensitivity of the cost-effective energy efficiency potential is identified by comparing the outcomes of each sensitivity. In selecting its biennial target based on this range of outcomes, Inland Power is selecting its preferred risk strategy and the associated risk credit.</w:t>
      </w:r>
    </w:p>
    <w:p w14:paraId="522E249C" w14:textId="77777777" w:rsidR="00A11194" w:rsidRPr="00627DA0" w:rsidRDefault="00A11194" w:rsidP="00A11194">
      <w:pPr>
        <w:pStyle w:val="Heading2"/>
      </w:pPr>
      <w:bookmarkStart w:id="161" w:name="_Toc207870694"/>
      <w:r w:rsidRPr="00627DA0">
        <w:t>Northwest Power Act Credit</w:t>
      </w:r>
      <w:bookmarkEnd w:id="161"/>
    </w:p>
    <w:p w14:paraId="4F3F4E83" w14:textId="77777777" w:rsidR="00A11194" w:rsidRPr="00627DA0" w:rsidRDefault="00A11194" w:rsidP="00A11194">
      <w:r w:rsidRPr="00627DA0">
        <w:t>Finally, this CPA includes a 10% cost credit for energy efficiency. This credit is specified in the Pacific Northwest Electric Power Planning and Conservation Act for regional power planning work completed by the Council and by Washington’s EIA for CPAs completed for Washington utilities. This credit is applied as a 10% bonus to the energy and capacity benefits described above.</w:t>
      </w:r>
    </w:p>
    <w:p w14:paraId="4AB3C943" w14:textId="77777777" w:rsidR="00A11194" w:rsidRPr="00627DA0" w:rsidRDefault="00A11194" w:rsidP="00A11194">
      <w:pPr>
        <w:pStyle w:val="Heading2"/>
      </w:pPr>
      <w:bookmarkStart w:id="162" w:name="_Toc49160930"/>
      <w:bookmarkStart w:id="163" w:name="_Toc207870695"/>
      <w:r w:rsidRPr="00627DA0">
        <w:t>Summary</w:t>
      </w:r>
      <w:bookmarkEnd w:id="162"/>
      <w:bookmarkEnd w:id="163"/>
    </w:p>
    <w:p w14:paraId="6E3CE8BA" w14:textId="6E516B02" w:rsidR="00A11194" w:rsidRPr="00627DA0" w:rsidRDefault="00A11194" w:rsidP="00A11194">
      <w:r w:rsidRPr="00627DA0">
        <w:fldChar w:fldCharType="begin"/>
      </w:r>
      <w:r w:rsidRPr="00627DA0">
        <w:instrText xml:space="preserve"> REF _Ref62132403 \h </w:instrText>
      </w:r>
      <w:r w:rsidRPr="00627DA0">
        <w:fldChar w:fldCharType="separate"/>
      </w:r>
      <w:r w:rsidR="00431297" w:rsidRPr="00627DA0">
        <w:t>Table 13</w:t>
      </w:r>
      <w:r w:rsidRPr="00627DA0">
        <w:fldChar w:fldCharType="end"/>
      </w:r>
      <w:r w:rsidRPr="00627DA0">
        <w:t xml:space="preserve"> summarizes the energy efficiency avoided cost assumptions used in each of the sensitivities in this CPA update. </w:t>
      </w:r>
    </w:p>
    <w:p w14:paraId="31B91C29" w14:textId="6244875C" w:rsidR="00A11194" w:rsidRPr="00627DA0" w:rsidRDefault="00A11194" w:rsidP="00A11194">
      <w:pPr>
        <w:pStyle w:val="Caption"/>
        <w:spacing w:after="240"/>
      </w:pPr>
      <w:bookmarkStart w:id="164" w:name="_Ref62132403"/>
      <w:bookmarkStart w:id="165" w:name="_Toc207870742"/>
      <w:r w:rsidRPr="00627DA0">
        <w:t xml:space="preserve">Table </w:t>
      </w:r>
      <w:fldSimple w:instr=" SEQ Table \* ARABIC ">
        <w:r w:rsidR="00431297" w:rsidRPr="00627DA0">
          <w:t>13</w:t>
        </w:r>
      </w:fldSimple>
      <w:bookmarkEnd w:id="164"/>
      <w:r w:rsidRPr="00627DA0">
        <w:t>: Energy Efficiency Avoided Cost Assumptions by Sensitivity</w:t>
      </w:r>
      <w:bookmarkEnd w:id="165"/>
    </w:p>
    <w:tbl>
      <w:tblPr>
        <w:tblStyle w:val="TableGrid"/>
        <w:tblW w:w="9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2579"/>
        <w:gridCol w:w="1874"/>
        <w:gridCol w:w="1874"/>
        <w:gridCol w:w="1875"/>
      </w:tblGrid>
      <w:tr w:rsidR="00A11194" w:rsidRPr="00627DA0" w14:paraId="638672A4" w14:textId="77777777" w:rsidTr="002B151F">
        <w:trPr>
          <w:trHeight w:val="315"/>
        </w:trPr>
        <w:tc>
          <w:tcPr>
            <w:tcW w:w="1165" w:type="dxa"/>
            <w:tcBorders>
              <w:top w:val="single" w:sz="12" w:space="0" w:color="auto"/>
              <w:bottom w:val="single" w:sz="12" w:space="0" w:color="auto"/>
            </w:tcBorders>
            <w:shd w:val="clear" w:color="auto" w:fill="00205C" w:themeFill="accent1" w:themeFillShade="BF"/>
          </w:tcPr>
          <w:p w14:paraId="257A1CA6" w14:textId="77777777" w:rsidR="00A11194" w:rsidRPr="00627DA0" w:rsidRDefault="00A11194" w:rsidP="002B151F">
            <w:pPr>
              <w:rPr>
                <w:rFonts w:cs="Calibri Light"/>
                <w:sz w:val="20"/>
                <w:szCs w:val="20"/>
              </w:rPr>
            </w:pPr>
          </w:p>
        </w:tc>
        <w:tc>
          <w:tcPr>
            <w:tcW w:w="2579" w:type="dxa"/>
            <w:tcBorders>
              <w:top w:val="single" w:sz="12" w:space="0" w:color="auto"/>
              <w:bottom w:val="single" w:sz="12" w:space="0" w:color="auto"/>
            </w:tcBorders>
            <w:shd w:val="clear" w:color="auto" w:fill="00205C" w:themeFill="accent1" w:themeFillShade="BF"/>
            <w:vAlign w:val="center"/>
          </w:tcPr>
          <w:p w14:paraId="58A9D848" w14:textId="77777777" w:rsidR="00A11194" w:rsidRPr="00627DA0" w:rsidRDefault="00A11194" w:rsidP="002B151F">
            <w:pPr>
              <w:jc w:val="left"/>
              <w:rPr>
                <w:rFonts w:cs="Calibri Light"/>
                <w:b/>
                <w:bCs/>
                <w:sz w:val="20"/>
                <w:szCs w:val="20"/>
              </w:rPr>
            </w:pPr>
          </w:p>
        </w:tc>
        <w:tc>
          <w:tcPr>
            <w:tcW w:w="1874" w:type="dxa"/>
            <w:tcBorders>
              <w:top w:val="single" w:sz="12" w:space="0" w:color="auto"/>
              <w:bottom w:val="single" w:sz="12" w:space="0" w:color="auto"/>
            </w:tcBorders>
            <w:shd w:val="clear" w:color="auto" w:fill="00205C" w:themeFill="accent1" w:themeFillShade="BF"/>
            <w:vAlign w:val="center"/>
          </w:tcPr>
          <w:p w14:paraId="06DB230B" w14:textId="77777777" w:rsidR="00A11194" w:rsidRPr="00627DA0" w:rsidRDefault="00A11194" w:rsidP="002B151F">
            <w:pPr>
              <w:jc w:val="center"/>
              <w:rPr>
                <w:rFonts w:cs="Calibri Light"/>
                <w:b/>
                <w:bCs/>
                <w:sz w:val="20"/>
                <w:szCs w:val="20"/>
              </w:rPr>
            </w:pPr>
            <w:r w:rsidRPr="00627DA0">
              <w:rPr>
                <w:rFonts w:cs="Calibri Light"/>
                <w:b/>
                <w:bCs/>
                <w:sz w:val="20"/>
                <w:szCs w:val="20"/>
              </w:rPr>
              <w:t>Low Sensitivity</w:t>
            </w:r>
          </w:p>
        </w:tc>
        <w:tc>
          <w:tcPr>
            <w:tcW w:w="1874" w:type="dxa"/>
            <w:tcBorders>
              <w:top w:val="single" w:sz="12" w:space="0" w:color="auto"/>
              <w:bottom w:val="single" w:sz="12" w:space="0" w:color="auto"/>
            </w:tcBorders>
            <w:shd w:val="clear" w:color="auto" w:fill="00205C" w:themeFill="accent1" w:themeFillShade="BF"/>
            <w:vAlign w:val="center"/>
          </w:tcPr>
          <w:p w14:paraId="1FDC0B27" w14:textId="77777777" w:rsidR="00A11194" w:rsidRPr="00627DA0" w:rsidRDefault="00A11194" w:rsidP="002B151F">
            <w:pPr>
              <w:jc w:val="center"/>
              <w:rPr>
                <w:rFonts w:cs="Calibri Light"/>
                <w:b/>
                <w:bCs/>
                <w:sz w:val="20"/>
                <w:szCs w:val="20"/>
              </w:rPr>
            </w:pPr>
            <w:r w:rsidRPr="00627DA0">
              <w:rPr>
                <w:rFonts w:cs="Calibri Light"/>
                <w:b/>
                <w:bCs/>
                <w:sz w:val="20"/>
                <w:szCs w:val="20"/>
              </w:rPr>
              <w:t>Base Case</w:t>
            </w:r>
          </w:p>
        </w:tc>
        <w:tc>
          <w:tcPr>
            <w:tcW w:w="1875" w:type="dxa"/>
            <w:tcBorders>
              <w:top w:val="single" w:sz="12" w:space="0" w:color="auto"/>
              <w:bottom w:val="single" w:sz="12" w:space="0" w:color="auto"/>
            </w:tcBorders>
            <w:shd w:val="clear" w:color="auto" w:fill="00205C" w:themeFill="accent1" w:themeFillShade="BF"/>
            <w:vAlign w:val="center"/>
          </w:tcPr>
          <w:p w14:paraId="57A4ACCF" w14:textId="77777777" w:rsidR="00A11194" w:rsidRPr="00627DA0" w:rsidRDefault="00A11194" w:rsidP="002B151F">
            <w:pPr>
              <w:jc w:val="center"/>
              <w:rPr>
                <w:rFonts w:cs="Calibri Light"/>
                <w:b/>
                <w:bCs/>
                <w:sz w:val="20"/>
                <w:szCs w:val="20"/>
              </w:rPr>
            </w:pPr>
            <w:r w:rsidRPr="00627DA0">
              <w:rPr>
                <w:rFonts w:cs="Calibri Light"/>
                <w:b/>
                <w:bCs/>
                <w:sz w:val="20"/>
                <w:szCs w:val="20"/>
              </w:rPr>
              <w:t>High Sensitivity</w:t>
            </w:r>
          </w:p>
        </w:tc>
      </w:tr>
      <w:tr w:rsidR="00A11194" w:rsidRPr="00627DA0" w14:paraId="2FA0F3A3" w14:textId="77777777" w:rsidTr="002B151F">
        <w:trPr>
          <w:trHeight w:val="831"/>
        </w:trPr>
        <w:tc>
          <w:tcPr>
            <w:tcW w:w="1165" w:type="dxa"/>
            <w:vMerge w:val="restart"/>
            <w:tcBorders>
              <w:top w:val="single" w:sz="12" w:space="0" w:color="auto"/>
            </w:tcBorders>
            <w:vAlign w:val="center"/>
          </w:tcPr>
          <w:p w14:paraId="37E8D791" w14:textId="77777777" w:rsidR="00A11194" w:rsidRPr="00627DA0" w:rsidRDefault="00A11194" w:rsidP="002B151F">
            <w:pPr>
              <w:jc w:val="center"/>
              <w:rPr>
                <w:rFonts w:cs="Calibri Light"/>
                <w:b/>
                <w:bCs/>
                <w:sz w:val="20"/>
                <w:szCs w:val="20"/>
              </w:rPr>
            </w:pPr>
            <w:r w:rsidRPr="00627DA0">
              <w:rPr>
                <w:rFonts w:cs="Calibri Light"/>
                <w:b/>
                <w:bCs/>
                <w:sz w:val="20"/>
                <w:szCs w:val="20"/>
              </w:rPr>
              <w:t>Energy Values</w:t>
            </w:r>
          </w:p>
        </w:tc>
        <w:tc>
          <w:tcPr>
            <w:tcW w:w="2579" w:type="dxa"/>
            <w:tcBorders>
              <w:top w:val="single" w:sz="12" w:space="0" w:color="auto"/>
              <w:bottom w:val="single" w:sz="4" w:space="0" w:color="auto"/>
            </w:tcBorders>
            <w:shd w:val="clear" w:color="auto" w:fill="F2F2F2" w:themeFill="background1" w:themeFillShade="F2"/>
            <w:vAlign w:val="center"/>
          </w:tcPr>
          <w:p w14:paraId="7AA2B548" w14:textId="77777777" w:rsidR="00A11194" w:rsidRPr="00627DA0" w:rsidRDefault="00A11194" w:rsidP="002B151F">
            <w:pPr>
              <w:jc w:val="center"/>
              <w:rPr>
                <w:rFonts w:cs="Calibri Light"/>
                <w:b/>
                <w:bCs/>
                <w:sz w:val="20"/>
                <w:szCs w:val="20"/>
              </w:rPr>
            </w:pPr>
            <w:r w:rsidRPr="00627DA0">
              <w:rPr>
                <w:rFonts w:cs="Calibri Light"/>
                <w:b/>
                <w:bCs/>
                <w:sz w:val="20"/>
                <w:szCs w:val="20"/>
              </w:rPr>
              <w:t>Avoided Energy Costs</w:t>
            </w:r>
          </w:p>
          <w:p w14:paraId="4F1182AB" w14:textId="77777777" w:rsidR="00A11194" w:rsidRPr="00627DA0" w:rsidRDefault="00A11194" w:rsidP="002B151F">
            <w:pPr>
              <w:jc w:val="center"/>
              <w:rPr>
                <w:rFonts w:cs="Calibri Light"/>
                <w:b/>
                <w:bCs/>
                <w:sz w:val="20"/>
                <w:szCs w:val="20"/>
              </w:rPr>
            </w:pPr>
            <w:r w:rsidRPr="00627DA0">
              <w:rPr>
                <w:rFonts w:cs="Calibri Light"/>
                <w:b/>
                <w:bCs/>
                <w:sz w:val="20"/>
                <w:szCs w:val="20"/>
              </w:rPr>
              <w:t>(20-Year Levelized Price, 2016$/MWh)</w:t>
            </w:r>
          </w:p>
        </w:tc>
        <w:tc>
          <w:tcPr>
            <w:tcW w:w="1874" w:type="dxa"/>
            <w:tcBorders>
              <w:top w:val="single" w:sz="12" w:space="0" w:color="auto"/>
              <w:bottom w:val="single" w:sz="4" w:space="0" w:color="auto"/>
            </w:tcBorders>
            <w:shd w:val="clear" w:color="auto" w:fill="F2F2F2" w:themeFill="background1" w:themeFillShade="F2"/>
            <w:vAlign w:val="center"/>
          </w:tcPr>
          <w:p w14:paraId="6DCEA92B" w14:textId="77777777" w:rsidR="00A11194" w:rsidRPr="00627DA0" w:rsidRDefault="00A11194" w:rsidP="002B151F">
            <w:pPr>
              <w:jc w:val="center"/>
              <w:rPr>
                <w:rFonts w:cs="Calibri Light"/>
                <w:sz w:val="20"/>
                <w:szCs w:val="20"/>
              </w:rPr>
            </w:pPr>
            <w:r w:rsidRPr="00627DA0">
              <w:rPr>
                <w:rFonts w:cs="Calibri Light"/>
                <w:sz w:val="20"/>
                <w:szCs w:val="20"/>
              </w:rPr>
              <w:t>Market Forecast minus 20%-80%</w:t>
            </w:r>
          </w:p>
          <w:p w14:paraId="2C3CC8AA" w14:textId="77777777" w:rsidR="00A11194" w:rsidRPr="00627DA0" w:rsidRDefault="00A11194" w:rsidP="002B151F">
            <w:pPr>
              <w:jc w:val="center"/>
              <w:rPr>
                <w:rFonts w:cs="Calibri Light"/>
                <w:sz w:val="20"/>
                <w:szCs w:val="20"/>
              </w:rPr>
            </w:pPr>
            <w:r w:rsidRPr="00627DA0">
              <w:rPr>
                <w:rFonts w:cs="Calibri Light"/>
                <w:sz w:val="20"/>
                <w:szCs w:val="20"/>
              </w:rPr>
              <w:t xml:space="preserve">($19) </w:t>
            </w:r>
          </w:p>
        </w:tc>
        <w:tc>
          <w:tcPr>
            <w:tcW w:w="1874" w:type="dxa"/>
            <w:tcBorders>
              <w:top w:val="single" w:sz="12" w:space="0" w:color="auto"/>
              <w:bottom w:val="single" w:sz="4" w:space="0" w:color="auto"/>
            </w:tcBorders>
            <w:shd w:val="clear" w:color="auto" w:fill="F2F2F2" w:themeFill="background1" w:themeFillShade="F2"/>
            <w:vAlign w:val="center"/>
          </w:tcPr>
          <w:p w14:paraId="32EAE6EB" w14:textId="77777777" w:rsidR="00A11194" w:rsidRPr="00627DA0" w:rsidRDefault="00A11194" w:rsidP="002B151F">
            <w:pPr>
              <w:jc w:val="center"/>
              <w:rPr>
                <w:rFonts w:cs="Calibri Light"/>
                <w:sz w:val="20"/>
                <w:szCs w:val="20"/>
              </w:rPr>
            </w:pPr>
            <w:r w:rsidRPr="00627DA0">
              <w:rPr>
                <w:rFonts w:cs="Calibri Light"/>
                <w:sz w:val="20"/>
                <w:szCs w:val="20"/>
              </w:rPr>
              <w:t>Market Forecast</w:t>
            </w:r>
          </w:p>
          <w:p w14:paraId="78A991F2" w14:textId="77777777" w:rsidR="00A11194" w:rsidRPr="00627DA0" w:rsidRDefault="00A11194" w:rsidP="002B151F">
            <w:pPr>
              <w:jc w:val="center"/>
              <w:rPr>
                <w:rFonts w:cs="Calibri Light"/>
                <w:sz w:val="20"/>
                <w:szCs w:val="20"/>
              </w:rPr>
            </w:pPr>
            <w:r w:rsidRPr="00627DA0">
              <w:rPr>
                <w:rFonts w:cs="Calibri Light"/>
                <w:sz w:val="20"/>
                <w:szCs w:val="20"/>
              </w:rPr>
              <w:t>($35)</w:t>
            </w:r>
          </w:p>
        </w:tc>
        <w:tc>
          <w:tcPr>
            <w:tcW w:w="1875" w:type="dxa"/>
            <w:tcBorders>
              <w:top w:val="single" w:sz="12" w:space="0" w:color="auto"/>
              <w:bottom w:val="single" w:sz="4" w:space="0" w:color="auto"/>
            </w:tcBorders>
            <w:shd w:val="clear" w:color="auto" w:fill="F2F2F2" w:themeFill="background1" w:themeFillShade="F2"/>
            <w:vAlign w:val="center"/>
          </w:tcPr>
          <w:p w14:paraId="1C50E32F" w14:textId="77777777" w:rsidR="00A11194" w:rsidRPr="00627DA0" w:rsidRDefault="00A11194" w:rsidP="002B151F">
            <w:pPr>
              <w:jc w:val="center"/>
              <w:rPr>
                <w:rFonts w:cs="Calibri Light"/>
                <w:sz w:val="20"/>
                <w:szCs w:val="20"/>
              </w:rPr>
            </w:pPr>
            <w:r w:rsidRPr="00627DA0">
              <w:rPr>
                <w:rFonts w:cs="Calibri Light"/>
                <w:sz w:val="20"/>
                <w:szCs w:val="20"/>
              </w:rPr>
              <w:t>Market Forecast plus 20%-80%</w:t>
            </w:r>
          </w:p>
          <w:p w14:paraId="662835B3" w14:textId="77777777" w:rsidR="00A11194" w:rsidRPr="00627DA0" w:rsidRDefault="00A11194" w:rsidP="002B151F">
            <w:pPr>
              <w:jc w:val="center"/>
              <w:rPr>
                <w:rFonts w:cs="Calibri Light"/>
                <w:sz w:val="20"/>
                <w:szCs w:val="20"/>
              </w:rPr>
            </w:pPr>
            <w:r w:rsidRPr="00627DA0">
              <w:rPr>
                <w:rFonts w:cs="Calibri Light"/>
                <w:sz w:val="20"/>
                <w:szCs w:val="20"/>
              </w:rPr>
              <w:t>($50)</w:t>
            </w:r>
          </w:p>
        </w:tc>
      </w:tr>
      <w:tr w:rsidR="00A11194" w:rsidRPr="00627DA0" w14:paraId="15626ED2" w14:textId="77777777" w:rsidTr="002B151F">
        <w:trPr>
          <w:trHeight w:val="831"/>
        </w:trPr>
        <w:tc>
          <w:tcPr>
            <w:tcW w:w="1165" w:type="dxa"/>
            <w:vMerge/>
          </w:tcPr>
          <w:p w14:paraId="4CAF855D" w14:textId="77777777" w:rsidR="00A11194" w:rsidRPr="00627DA0" w:rsidRDefault="00A11194" w:rsidP="002B151F">
            <w:pPr>
              <w:rPr>
                <w:rFonts w:cs="Calibri Light"/>
                <w:b/>
                <w:bCs/>
                <w:sz w:val="20"/>
                <w:szCs w:val="20"/>
              </w:rPr>
            </w:pPr>
          </w:p>
        </w:tc>
        <w:tc>
          <w:tcPr>
            <w:tcW w:w="2579" w:type="dxa"/>
            <w:tcBorders>
              <w:top w:val="single" w:sz="4" w:space="0" w:color="auto"/>
              <w:bottom w:val="single" w:sz="4" w:space="0" w:color="auto"/>
            </w:tcBorders>
            <w:vAlign w:val="center"/>
          </w:tcPr>
          <w:p w14:paraId="049C0FC3" w14:textId="77777777" w:rsidR="00A11194" w:rsidRPr="00627DA0" w:rsidRDefault="00A11194" w:rsidP="002B151F">
            <w:pPr>
              <w:jc w:val="center"/>
              <w:rPr>
                <w:rFonts w:cs="Calibri Light"/>
                <w:b/>
                <w:bCs/>
                <w:sz w:val="20"/>
                <w:szCs w:val="20"/>
              </w:rPr>
            </w:pPr>
            <w:r w:rsidRPr="00627DA0">
              <w:rPr>
                <w:rFonts w:cs="Calibri Light"/>
                <w:b/>
                <w:bCs/>
                <w:sz w:val="20"/>
                <w:szCs w:val="20"/>
              </w:rPr>
              <w:t>Social Cost CO</w:t>
            </w:r>
            <w:r w:rsidRPr="00627DA0">
              <w:rPr>
                <w:rFonts w:cs="Calibri Light"/>
                <w:b/>
                <w:bCs/>
                <w:sz w:val="20"/>
                <w:szCs w:val="20"/>
                <w:vertAlign w:val="subscript"/>
              </w:rPr>
              <w:t>2</w:t>
            </w:r>
          </w:p>
        </w:tc>
        <w:tc>
          <w:tcPr>
            <w:tcW w:w="1874" w:type="dxa"/>
            <w:tcBorders>
              <w:top w:val="single" w:sz="4" w:space="0" w:color="auto"/>
              <w:bottom w:val="single" w:sz="4" w:space="0" w:color="auto"/>
            </w:tcBorders>
            <w:vAlign w:val="center"/>
          </w:tcPr>
          <w:p w14:paraId="7215708C" w14:textId="77777777" w:rsidR="00A11194" w:rsidRPr="00627DA0" w:rsidRDefault="00A11194" w:rsidP="002B151F">
            <w:pPr>
              <w:jc w:val="center"/>
              <w:rPr>
                <w:rFonts w:cs="Calibri Light"/>
                <w:sz w:val="20"/>
                <w:szCs w:val="20"/>
              </w:rPr>
            </w:pPr>
            <w:r w:rsidRPr="00627DA0">
              <w:rPr>
                <w:rFonts w:cs="Calibri Light"/>
                <w:sz w:val="20"/>
                <w:szCs w:val="20"/>
              </w:rPr>
              <w:t>Federal 2.5% Discount Rate Values</w:t>
            </w:r>
          </w:p>
        </w:tc>
        <w:tc>
          <w:tcPr>
            <w:tcW w:w="1874" w:type="dxa"/>
            <w:tcBorders>
              <w:top w:val="single" w:sz="4" w:space="0" w:color="auto"/>
              <w:bottom w:val="single" w:sz="4" w:space="0" w:color="auto"/>
            </w:tcBorders>
            <w:vAlign w:val="center"/>
          </w:tcPr>
          <w:p w14:paraId="3B8B9A5A" w14:textId="77777777" w:rsidR="00A11194" w:rsidRPr="00627DA0" w:rsidRDefault="00A11194" w:rsidP="002B151F">
            <w:pPr>
              <w:jc w:val="center"/>
              <w:rPr>
                <w:rFonts w:cs="Calibri Light"/>
                <w:sz w:val="20"/>
                <w:szCs w:val="20"/>
              </w:rPr>
            </w:pPr>
            <w:r w:rsidRPr="00627DA0">
              <w:rPr>
                <w:rFonts w:cs="Calibri Light"/>
                <w:sz w:val="20"/>
                <w:szCs w:val="20"/>
              </w:rPr>
              <w:t>Federal 2.5% Discount Rate Values</w:t>
            </w:r>
          </w:p>
        </w:tc>
        <w:tc>
          <w:tcPr>
            <w:tcW w:w="1875" w:type="dxa"/>
            <w:tcBorders>
              <w:top w:val="single" w:sz="4" w:space="0" w:color="auto"/>
              <w:bottom w:val="single" w:sz="4" w:space="0" w:color="auto"/>
            </w:tcBorders>
            <w:vAlign w:val="center"/>
          </w:tcPr>
          <w:p w14:paraId="75AD5352" w14:textId="77777777" w:rsidR="00A11194" w:rsidRPr="00627DA0" w:rsidRDefault="00A11194" w:rsidP="002B151F">
            <w:pPr>
              <w:jc w:val="center"/>
              <w:rPr>
                <w:rFonts w:cs="Calibri Light"/>
                <w:sz w:val="20"/>
                <w:szCs w:val="20"/>
              </w:rPr>
            </w:pPr>
            <w:r w:rsidRPr="00627DA0">
              <w:rPr>
                <w:rFonts w:cs="Calibri Light"/>
                <w:sz w:val="20"/>
                <w:szCs w:val="20"/>
              </w:rPr>
              <w:t>Federal 2.5% Discount Rate Values</w:t>
            </w:r>
          </w:p>
        </w:tc>
      </w:tr>
      <w:tr w:rsidR="00A11194" w:rsidRPr="00627DA0" w14:paraId="003FD2CB" w14:textId="77777777" w:rsidTr="002B151F">
        <w:trPr>
          <w:trHeight w:val="879"/>
        </w:trPr>
        <w:tc>
          <w:tcPr>
            <w:tcW w:w="1165" w:type="dxa"/>
            <w:vMerge/>
            <w:tcBorders>
              <w:bottom w:val="single" w:sz="4" w:space="0" w:color="auto"/>
            </w:tcBorders>
          </w:tcPr>
          <w:p w14:paraId="7C4235D8" w14:textId="77777777" w:rsidR="00A11194" w:rsidRPr="00627DA0" w:rsidRDefault="00A11194" w:rsidP="002B151F">
            <w:pPr>
              <w:rPr>
                <w:rFonts w:cs="Calibri Light"/>
                <w:b/>
                <w:bCs/>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13188B38" w14:textId="77777777" w:rsidR="00A11194" w:rsidRPr="00627DA0" w:rsidRDefault="00A11194" w:rsidP="002B151F">
            <w:pPr>
              <w:jc w:val="center"/>
              <w:rPr>
                <w:rFonts w:cs="Calibri Light"/>
                <w:b/>
                <w:bCs/>
                <w:sz w:val="20"/>
                <w:szCs w:val="20"/>
              </w:rPr>
            </w:pPr>
            <w:r w:rsidRPr="00627DA0">
              <w:rPr>
                <w:rFonts w:cs="Calibri Light"/>
                <w:b/>
                <w:bCs/>
                <w:sz w:val="20"/>
                <w:szCs w:val="20"/>
              </w:rPr>
              <w:t>RPS Compliance</w:t>
            </w:r>
          </w:p>
        </w:tc>
        <w:tc>
          <w:tcPr>
            <w:tcW w:w="1874" w:type="dxa"/>
            <w:tcBorders>
              <w:top w:val="single" w:sz="4" w:space="0" w:color="auto"/>
              <w:bottom w:val="single" w:sz="4" w:space="0" w:color="auto"/>
            </w:tcBorders>
            <w:shd w:val="clear" w:color="auto" w:fill="F2F2F2" w:themeFill="background1" w:themeFillShade="F2"/>
            <w:vAlign w:val="center"/>
          </w:tcPr>
          <w:p w14:paraId="2FA19E9D" w14:textId="77777777" w:rsidR="00A11194" w:rsidRPr="00627DA0" w:rsidRDefault="00A11194" w:rsidP="002B151F">
            <w:pPr>
              <w:jc w:val="center"/>
              <w:rPr>
                <w:rFonts w:cs="Calibri Light"/>
                <w:sz w:val="20"/>
                <w:szCs w:val="20"/>
              </w:rPr>
            </w:pPr>
            <w:r w:rsidRPr="00627DA0">
              <w:rPr>
                <w:rFonts w:cs="Calibri Light"/>
                <w:sz w:val="20"/>
                <w:szCs w:val="20"/>
              </w:rPr>
              <w:t>WA EIA &amp; CETA Requirements</w:t>
            </w:r>
          </w:p>
        </w:tc>
        <w:tc>
          <w:tcPr>
            <w:tcW w:w="1874" w:type="dxa"/>
            <w:tcBorders>
              <w:top w:val="single" w:sz="4" w:space="0" w:color="auto"/>
              <w:bottom w:val="single" w:sz="4" w:space="0" w:color="auto"/>
            </w:tcBorders>
            <w:shd w:val="clear" w:color="auto" w:fill="F2F2F2" w:themeFill="background1" w:themeFillShade="F2"/>
            <w:vAlign w:val="center"/>
          </w:tcPr>
          <w:p w14:paraId="664EBA82" w14:textId="77777777" w:rsidR="00A11194" w:rsidRPr="00627DA0" w:rsidRDefault="00A11194" w:rsidP="002B151F">
            <w:pPr>
              <w:jc w:val="center"/>
              <w:rPr>
                <w:rFonts w:cs="Calibri Light"/>
                <w:sz w:val="20"/>
                <w:szCs w:val="20"/>
              </w:rPr>
            </w:pPr>
            <w:r w:rsidRPr="00627DA0">
              <w:rPr>
                <w:rFonts w:cs="Calibri Light"/>
                <w:sz w:val="20"/>
                <w:szCs w:val="20"/>
              </w:rPr>
              <w:t>WA EIA &amp; CETA Requirements</w:t>
            </w:r>
          </w:p>
        </w:tc>
        <w:tc>
          <w:tcPr>
            <w:tcW w:w="1875" w:type="dxa"/>
            <w:tcBorders>
              <w:top w:val="single" w:sz="4" w:space="0" w:color="auto"/>
              <w:bottom w:val="single" w:sz="4" w:space="0" w:color="auto"/>
            </w:tcBorders>
            <w:shd w:val="clear" w:color="auto" w:fill="F2F2F2" w:themeFill="background1" w:themeFillShade="F2"/>
            <w:vAlign w:val="center"/>
          </w:tcPr>
          <w:p w14:paraId="75560662" w14:textId="77777777" w:rsidR="00A11194" w:rsidRPr="00627DA0" w:rsidRDefault="00A11194" w:rsidP="002B151F">
            <w:pPr>
              <w:jc w:val="center"/>
              <w:rPr>
                <w:rFonts w:cs="Calibri Light"/>
                <w:sz w:val="20"/>
                <w:szCs w:val="20"/>
              </w:rPr>
            </w:pPr>
            <w:r w:rsidRPr="00627DA0">
              <w:rPr>
                <w:rFonts w:cs="Calibri Light"/>
                <w:sz w:val="20"/>
                <w:szCs w:val="20"/>
              </w:rPr>
              <w:t>WA EIA &amp; CETA Requirements</w:t>
            </w:r>
          </w:p>
        </w:tc>
      </w:tr>
      <w:tr w:rsidR="00A11194" w:rsidRPr="00627DA0" w14:paraId="58412C74" w14:textId="77777777" w:rsidTr="002B151F">
        <w:trPr>
          <w:trHeight w:val="783"/>
        </w:trPr>
        <w:tc>
          <w:tcPr>
            <w:tcW w:w="1165" w:type="dxa"/>
            <w:vMerge w:val="restart"/>
            <w:tcBorders>
              <w:top w:val="single" w:sz="4" w:space="0" w:color="auto"/>
            </w:tcBorders>
            <w:vAlign w:val="center"/>
          </w:tcPr>
          <w:p w14:paraId="2B866C85" w14:textId="77777777" w:rsidR="00A11194" w:rsidRPr="00627DA0" w:rsidRDefault="00A11194" w:rsidP="002B151F">
            <w:pPr>
              <w:jc w:val="center"/>
              <w:rPr>
                <w:rFonts w:cs="Calibri Light"/>
                <w:b/>
                <w:bCs/>
                <w:sz w:val="20"/>
                <w:szCs w:val="20"/>
              </w:rPr>
            </w:pPr>
            <w:r w:rsidRPr="00627DA0">
              <w:rPr>
                <w:rFonts w:cs="Calibri Light"/>
                <w:b/>
                <w:bCs/>
                <w:sz w:val="20"/>
                <w:szCs w:val="20"/>
              </w:rPr>
              <w:lastRenderedPageBreak/>
              <w:t>Capacity Values</w:t>
            </w:r>
          </w:p>
        </w:tc>
        <w:tc>
          <w:tcPr>
            <w:tcW w:w="2579" w:type="dxa"/>
            <w:tcBorders>
              <w:top w:val="single" w:sz="4" w:space="0" w:color="auto"/>
              <w:bottom w:val="single" w:sz="4" w:space="0" w:color="auto"/>
            </w:tcBorders>
            <w:vAlign w:val="center"/>
          </w:tcPr>
          <w:p w14:paraId="5EFDFBB0" w14:textId="77777777" w:rsidR="00A11194" w:rsidRPr="00627DA0" w:rsidRDefault="00A11194" w:rsidP="002B151F">
            <w:pPr>
              <w:jc w:val="center"/>
              <w:rPr>
                <w:rFonts w:cs="Calibri Light"/>
                <w:b/>
                <w:bCs/>
                <w:sz w:val="20"/>
                <w:szCs w:val="20"/>
              </w:rPr>
            </w:pPr>
            <w:r w:rsidRPr="00627DA0">
              <w:rPr>
                <w:rFonts w:cs="Calibri Light"/>
                <w:b/>
                <w:bCs/>
                <w:sz w:val="20"/>
                <w:szCs w:val="20"/>
              </w:rPr>
              <w:t>Distribution Capacity</w:t>
            </w:r>
          </w:p>
          <w:p w14:paraId="50AD8134" w14:textId="77777777" w:rsidR="00A11194" w:rsidRPr="00627DA0" w:rsidRDefault="00A11194"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vAlign w:val="center"/>
          </w:tcPr>
          <w:p w14:paraId="2B4281CE" w14:textId="77777777" w:rsidR="00A11194" w:rsidRPr="00627DA0" w:rsidRDefault="00A11194" w:rsidP="002B151F">
            <w:pPr>
              <w:jc w:val="center"/>
              <w:rPr>
                <w:rFonts w:cs="Calibri Light"/>
                <w:sz w:val="20"/>
                <w:szCs w:val="20"/>
              </w:rPr>
            </w:pPr>
            <w:r w:rsidRPr="00627DA0">
              <w:rPr>
                <w:rFonts w:cs="Calibri Light"/>
                <w:sz w:val="20"/>
                <w:szCs w:val="20"/>
              </w:rPr>
              <w:t>$7.82/kW-year</w:t>
            </w:r>
          </w:p>
        </w:tc>
        <w:tc>
          <w:tcPr>
            <w:tcW w:w="1874" w:type="dxa"/>
            <w:tcBorders>
              <w:top w:val="single" w:sz="4" w:space="0" w:color="auto"/>
              <w:bottom w:val="single" w:sz="4" w:space="0" w:color="auto"/>
            </w:tcBorders>
            <w:vAlign w:val="center"/>
          </w:tcPr>
          <w:p w14:paraId="317A947A" w14:textId="77777777" w:rsidR="00A11194" w:rsidRPr="00627DA0" w:rsidRDefault="00A11194" w:rsidP="002B151F">
            <w:pPr>
              <w:jc w:val="center"/>
              <w:rPr>
                <w:rFonts w:cs="Calibri Light"/>
                <w:sz w:val="20"/>
                <w:szCs w:val="20"/>
              </w:rPr>
            </w:pPr>
            <w:r w:rsidRPr="00627DA0">
              <w:rPr>
                <w:rFonts w:cs="Calibri Light"/>
                <w:sz w:val="20"/>
                <w:szCs w:val="20"/>
              </w:rPr>
              <w:t>$7.82/kW-year</w:t>
            </w:r>
          </w:p>
        </w:tc>
        <w:tc>
          <w:tcPr>
            <w:tcW w:w="1875" w:type="dxa"/>
            <w:tcBorders>
              <w:top w:val="single" w:sz="4" w:space="0" w:color="auto"/>
              <w:bottom w:val="single" w:sz="4" w:space="0" w:color="auto"/>
            </w:tcBorders>
            <w:vAlign w:val="center"/>
          </w:tcPr>
          <w:p w14:paraId="469EE197" w14:textId="77777777" w:rsidR="00A11194" w:rsidRPr="00627DA0" w:rsidRDefault="00A11194" w:rsidP="002B151F">
            <w:pPr>
              <w:jc w:val="center"/>
              <w:rPr>
                <w:rFonts w:cs="Calibri Light"/>
                <w:sz w:val="20"/>
                <w:szCs w:val="20"/>
              </w:rPr>
            </w:pPr>
            <w:r w:rsidRPr="00627DA0">
              <w:rPr>
                <w:rFonts w:cs="Calibri Light"/>
                <w:sz w:val="20"/>
                <w:szCs w:val="20"/>
              </w:rPr>
              <w:t>$7.82/kW-year</w:t>
            </w:r>
          </w:p>
        </w:tc>
      </w:tr>
      <w:tr w:rsidR="00A11194" w:rsidRPr="00627DA0" w14:paraId="174A5A8B" w14:textId="77777777" w:rsidTr="002B151F">
        <w:trPr>
          <w:trHeight w:val="879"/>
        </w:trPr>
        <w:tc>
          <w:tcPr>
            <w:tcW w:w="1165" w:type="dxa"/>
            <w:vMerge/>
          </w:tcPr>
          <w:p w14:paraId="57534CBC" w14:textId="77777777" w:rsidR="00A11194" w:rsidRPr="00627DA0" w:rsidRDefault="00A11194" w:rsidP="002B151F">
            <w:pPr>
              <w:rPr>
                <w:rFonts w:cs="Calibri Light"/>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31B3A609" w14:textId="77777777" w:rsidR="00A11194" w:rsidRPr="00627DA0" w:rsidRDefault="00A11194" w:rsidP="002B151F">
            <w:pPr>
              <w:jc w:val="center"/>
              <w:rPr>
                <w:rFonts w:cs="Calibri Light"/>
                <w:b/>
                <w:bCs/>
                <w:sz w:val="20"/>
                <w:szCs w:val="20"/>
              </w:rPr>
            </w:pPr>
            <w:r w:rsidRPr="00627DA0">
              <w:rPr>
                <w:rFonts w:cs="Calibri Light"/>
                <w:b/>
                <w:bCs/>
                <w:sz w:val="20"/>
                <w:szCs w:val="20"/>
              </w:rPr>
              <w:t>Transmission Capacity</w:t>
            </w:r>
          </w:p>
          <w:p w14:paraId="53F563A9" w14:textId="77777777" w:rsidR="00A11194" w:rsidRPr="00627DA0" w:rsidRDefault="00A11194"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shd w:val="clear" w:color="auto" w:fill="F2F2F2" w:themeFill="background1" w:themeFillShade="F2"/>
            <w:vAlign w:val="center"/>
          </w:tcPr>
          <w:p w14:paraId="07FD33AC" w14:textId="77777777" w:rsidR="00A11194" w:rsidRPr="00627DA0" w:rsidRDefault="00A11194" w:rsidP="002B151F">
            <w:pPr>
              <w:jc w:val="center"/>
              <w:rPr>
                <w:rFonts w:cs="Calibri Light"/>
                <w:sz w:val="20"/>
                <w:szCs w:val="20"/>
              </w:rPr>
            </w:pPr>
            <w:r w:rsidRPr="00627DA0">
              <w:rPr>
                <w:rFonts w:cs="Calibri Light"/>
                <w:sz w:val="20"/>
                <w:szCs w:val="20"/>
              </w:rPr>
              <w:t>$3.54/kW-year</w:t>
            </w:r>
          </w:p>
        </w:tc>
        <w:tc>
          <w:tcPr>
            <w:tcW w:w="1874" w:type="dxa"/>
            <w:tcBorders>
              <w:top w:val="single" w:sz="4" w:space="0" w:color="auto"/>
              <w:bottom w:val="single" w:sz="4" w:space="0" w:color="auto"/>
            </w:tcBorders>
            <w:shd w:val="clear" w:color="auto" w:fill="F2F2F2" w:themeFill="background1" w:themeFillShade="F2"/>
            <w:vAlign w:val="center"/>
          </w:tcPr>
          <w:p w14:paraId="17B408D5" w14:textId="77777777" w:rsidR="00A11194" w:rsidRPr="00627DA0" w:rsidRDefault="00A11194" w:rsidP="002B151F">
            <w:pPr>
              <w:jc w:val="center"/>
              <w:rPr>
                <w:rFonts w:cs="Calibri Light"/>
                <w:sz w:val="20"/>
                <w:szCs w:val="20"/>
              </w:rPr>
            </w:pPr>
            <w:r w:rsidRPr="00627DA0">
              <w:rPr>
                <w:rFonts w:cs="Calibri Light"/>
                <w:sz w:val="20"/>
                <w:szCs w:val="20"/>
              </w:rPr>
              <w:t>$3.54/kW-year</w:t>
            </w:r>
          </w:p>
        </w:tc>
        <w:tc>
          <w:tcPr>
            <w:tcW w:w="1875" w:type="dxa"/>
            <w:tcBorders>
              <w:top w:val="single" w:sz="4" w:space="0" w:color="auto"/>
              <w:bottom w:val="single" w:sz="4" w:space="0" w:color="auto"/>
            </w:tcBorders>
            <w:shd w:val="clear" w:color="auto" w:fill="F2F2F2" w:themeFill="background1" w:themeFillShade="F2"/>
            <w:vAlign w:val="center"/>
          </w:tcPr>
          <w:p w14:paraId="70C38175" w14:textId="77777777" w:rsidR="00A11194" w:rsidRPr="00627DA0" w:rsidRDefault="00A11194" w:rsidP="002B151F">
            <w:pPr>
              <w:jc w:val="center"/>
              <w:rPr>
                <w:rFonts w:cs="Calibri Light"/>
                <w:sz w:val="20"/>
                <w:szCs w:val="20"/>
              </w:rPr>
            </w:pPr>
            <w:r w:rsidRPr="00627DA0">
              <w:rPr>
                <w:rFonts w:cs="Calibri Light"/>
                <w:sz w:val="20"/>
                <w:szCs w:val="20"/>
              </w:rPr>
              <w:t>$3.54/kW-year</w:t>
            </w:r>
          </w:p>
        </w:tc>
      </w:tr>
      <w:tr w:rsidR="00A11194" w:rsidRPr="00627DA0" w14:paraId="55F73B05" w14:textId="77777777" w:rsidTr="002B151F">
        <w:trPr>
          <w:trHeight w:val="831"/>
        </w:trPr>
        <w:tc>
          <w:tcPr>
            <w:tcW w:w="1165" w:type="dxa"/>
            <w:vMerge/>
            <w:tcBorders>
              <w:bottom w:val="single" w:sz="4" w:space="0" w:color="auto"/>
            </w:tcBorders>
          </w:tcPr>
          <w:p w14:paraId="1A8055D9" w14:textId="77777777" w:rsidR="00A11194" w:rsidRPr="00627DA0" w:rsidRDefault="00A11194" w:rsidP="002B151F">
            <w:pPr>
              <w:rPr>
                <w:rFonts w:cs="Calibri Light"/>
                <w:sz w:val="20"/>
                <w:szCs w:val="20"/>
              </w:rPr>
            </w:pPr>
          </w:p>
        </w:tc>
        <w:tc>
          <w:tcPr>
            <w:tcW w:w="2579" w:type="dxa"/>
            <w:tcBorders>
              <w:top w:val="single" w:sz="4" w:space="0" w:color="auto"/>
              <w:bottom w:val="single" w:sz="4" w:space="0" w:color="auto"/>
            </w:tcBorders>
            <w:vAlign w:val="center"/>
          </w:tcPr>
          <w:p w14:paraId="486A2705" w14:textId="77777777" w:rsidR="00A11194" w:rsidRPr="00627DA0" w:rsidRDefault="00A11194" w:rsidP="002B151F">
            <w:pPr>
              <w:jc w:val="center"/>
              <w:rPr>
                <w:rFonts w:cs="Calibri Light"/>
                <w:b/>
                <w:bCs/>
                <w:sz w:val="20"/>
                <w:szCs w:val="20"/>
              </w:rPr>
            </w:pPr>
            <w:r w:rsidRPr="00627DA0">
              <w:rPr>
                <w:rFonts w:cs="Calibri Light"/>
                <w:b/>
                <w:bCs/>
                <w:sz w:val="20"/>
                <w:szCs w:val="20"/>
              </w:rPr>
              <w:t>Generation Capacity</w:t>
            </w:r>
          </w:p>
          <w:p w14:paraId="2B67C5B5" w14:textId="77777777" w:rsidR="00A11194" w:rsidRPr="00627DA0" w:rsidRDefault="00A11194"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vAlign w:val="center"/>
          </w:tcPr>
          <w:p w14:paraId="471870E4" w14:textId="77777777" w:rsidR="00A11194" w:rsidRPr="00627DA0" w:rsidRDefault="00A11194" w:rsidP="002B151F">
            <w:pPr>
              <w:jc w:val="center"/>
              <w:rPr>
                <w:rFonts w:cs="Calibri Light"/>
                <w:sz w:val="20"/>
                <w:szCs w:val="20"/>
              </w:rPr>
            </w:pPr>
            <w:r w:rsidRPr="00627DA0">
              <w:rPr>
                <w:rFonts w:cs="Calibri Light"/>
                <w:sz w:val="20"/>
                <w:szCs w:val="20"/>
              </w:rPr>
              <w:t>$65/kW-year</w:t>
            </w:r>
          </w:p>
        </w:tc>
        <w:tc>
          <w:tcPr>
            <w:tcW w:w="1874" w:type="dxa"/>
            <w:tcBorders>
              <w:top w:val="single" w:sz="4" w:space="0" w:color="auto"/>
              <w:bottom w:val="single" w:sz="4" w:space="0" w:color="auto"/>
            </w:tcBorders>
            <w:vAlign w:val="center"/>
          </w:tcPr>
          <w:p w14:paraId="0FAFC741" w14:textId="77777777" w:rsidR="00A11194" w:rsidRPr="00627DA0" w:rsidRDefault="00A11194" w:rsidP="002B151F">
            <w:pPr>
              <w:jc w:val="center"/>
              <w:rPr>
                <w:rFonts w:cs="Calibri Light"/>
                <w:sz w:val="20"/>
                <w:szCs w:val="20"/>
              </w:rPr>
            </w:pPr>
            <w:r w:rsidRPr="00627DA0">
              <w:rPr>
                <w:rFonts w:cs="Calibri Light"/>
                <w:sz w:val="20"/>
                <w:szCs w:val="20"/>
              </w:rPr>
              <w:t>$75/kW-year</w:t>
            </w:r>
          </w:p>
        </w:tc>
        <w:tc>
          <w:tcPr>
            <w:tcW w:w="1875" w:type="dxa"/>
            <w:tcBorders>
              <w:top w:val="single" w:sz="4" w:space="0" w:color="auto"/>
              <w:bottom w:val="single" w:sz="4" w:space="0" w:color="auto"/>
            </w:tcBorders>
            <w:vAlign w:val="center"/>
          </w:tcPr>
          <w:p w14:paraId="657BB5B8" w14:textId="77777777" w:rsidR="00A11194" w:rsidRPr="00627DA0" w:rsidRDefault="00A11194" w:rsidP="002B151F">
            <w:pPr>
              <w:jc w:val="center"/>
              <w:rPr>
                <w:rFonts w:cs="Calibri Light"/>
                <w:sz w:val="20"/>
                <w:szCs w:val="20"/>
              </w:rPr>
            </w:pPr>
            <w:r w:rsidRPr="00627DA0">
              <w:rPr>
                <w:rFonts w:cs="Calibri Light"/>
                <w:sz w:val="20"/>
                <w:szCs w:val="20"/>
              </w:rPr>
              <w:t>$123/kW-year</w:t>
            </w:r>
          </w:p>
        </w:tc>
      </w:tr>
      <w:tr w:rsidR="00A11194" w:rsidRPr="00627DA0" w14:paraId="1B553D90" w14:textId="77777777" w:rsidTr="002B151F">
        <w:trPr>
          <w:trHeight w:val="831"/>
        </w:trPr>
        <w:tc>
          <w:tcPr>
            <w:tcW w:w="1165" w:type="dxa"/>
            <w:tcBorders>
              <w:top w:val="single" w:sz="4" w:space="0" w:color="auto"/>
              <w:bottom w:val="single" w:sz="4" w:space="0" w:color="auto"/>
            </w:tcBorders>
            <w:shd w:val="clear" w:color="auto" w:fill="F2F2F2" w:themeFill="background1" w:themeFillShade="F2"/>
          </w:tcPr>
          <w:p w14:paraId="08A00D3B" w14:textId="77777777" w:rsidR="00A11194" w:rsidRPr="00627DA0" w:rsidRDefault="00A11194" w:rsidP="002B151F">
            <w:pPr>
              <w:rPr>
                <w:rFonts w:cs="Calibri Light"/>
                <w:sz w:val="20"/>
                <w:szCs w:val="20"/>
              </w:rPr>
            </w:pPr>
          </w:p>
        </w:tc>
        <w:tc>
          <w:tcPr>
            <w:tcW w:w="2579" w:type="dxa"/>
            <w:tcBorders>
              <w:top w:val="single" w:sz="4" w:space="0" w:color="auto"/>
              <w:bottom w:val="single" w:sz="4" w:space="0" w:color="auto"/>
            </w:tcBorders>
            <w:shd w:val="clear" w:color="auto" w:fill="F2F2F2" w:themeFill="background1" w:themeFillShade="F2"/>
            <w:vAlign w:val="center"/>
          </w:tcPr>
          <w:p w14:paraId="7F283ED0" w14:textId="77777777" w:rsidR="00A11194" w:rsidRPr="00627DA0" w:rsidRDefault="00A11194" w:rsidP="002B151F">
            <w:pPr>
              <w:jc w:val="center"/>
              <w:rPr>
                <w:rFonts w:cs="Calibri Light"/>
                <w:b/>
                <w:bCs/>
                <w:sz w:val="20"/>
                <w:szCs w:val="20"/>
              </w:rPr>
            </w:pPr>
            <w:r w:rsidRPr="00627DA0">
              <w:rPr>
                <w:rFonts w:cs="Calibri Light"/>
                <w:b/>
                <w:bCs/>
                <w:sz w:val="20"/>
                <w:szCs w:val="20"/>
              </w:rPr>
              <w:t>Implied Risk Adder</w:t>
            </w:r>
          </w:p>
          <w:p w14:paraId="45FE9C1C" w14:textId="77777777" w:rsidR="00A11194" w:rsidRPr="00627DA0" w:rsidRDefault="00A11194" w:rsidP="002B151F">
            <w:pPr>
              <w:jc w:val="center"/>
              <w:rPr>
                <w:rFonts w:cs="Calibri Light"/>
                <w:b/>
                <w:bCs/>
                <w:sz w:val="20"/>
                <w:szCs w:val="20"/>
              </w:rPr>
            </w:pPr>
            <w:r w:rsidRPr="00627DA0">
              <w:rPr>
                <w:rFonts w:cs="Calibri Light"/>
                <w:b/>
                <w:bCs/>
                <w:sz w:val="20"/>
                <w:szCs w:val="20"/>
              </w:rPr>
              <w:t>(2016$)</w:t>
            </w:r>
          </w:p>
        </w:tc>
        <w:tc>
          <w:tcPr>
            <w:tcW w:w="1874" w:type="dxa"/>
            <w:tcBorders>
              <w:top w:val="single" w:sz="4" w:space="0" w:color="auto"/>
              <w:bottom w:val="single" w:sz="4" w:space="0" w:color="auto"/>
            </w:tcBorders>
            <w:shd w:val="clear" w:color="auto" w:fill="F2F2F2" w:themeFill="background1" w:themeFillShade="F2"/>
            <w:vAlign w:val="center"/>
          </w:tcPr>
          <w:p w14:paraId="53B7C366" w14:textId="77777777" w:rsidR="00A11194" w:rsidRPr="00627DA0" w:rsidRDefault="00A11194" w:rsidP="002B151F">
            <w:pPr>
              <w:jc w:val="center"/>
              <w:rPr>
                <w:rFonts w:cs="Calibri Light"/>
                <w:sz w:val="20"/>
                <w:szCs w:val="20"/>
              </w:rPr>
            </w:pPr>
            <w:r w:rsidRPr="00627DA0">
              <w:rPr>
                <w:rFonts w:cs="Calibri Light"/>
                <w:sz w:val="20"/>
                <w:szCs w:val="20"/>
              </w:rPr>
              <w:t>-$16/MWh</w:t>
            </w:r>
          </w:p>
          <w:p w14:paraId="4BD0091B" w14:textId="77777777" w:rsidR="00A11194" w:rsidRPr="00627DA0" w:rsidRDefault="00A11194" w:rsidP="002B151F">
            <w:pPr>
              <w:jc w:val="center"/>
              <w:rPr>
                <w:rFonts w:cs="Calibri Light"/>
                <w:sz w:val="20"/>
                <w:szCs w:val="20"/>
              </w:rPr>
            </w:pPr>
            <w:r w:rsidRPr="00627DA0">
              <w:rPr>
                <w:rFonts w:cs="Calibri Light"/>
                <w:sz w:val="20"/>
                <w:szCs w:val="20"/>
              </w:rPr>
              <w:t>-$10/kW-year</w:t>
            </w:r>
          </w:p>
        </w:tc>
        <w:tc>
          <w:tcPr>
            <w:tcW w:w="1874" w:type="dxa"/>
            <w:tcBorders>
              <w:top w:val="single" w:sz="4" w:space="0" w:color="auto"/>
              <w:bottom w:val="single" w:sz="4" w:space="0" w:color="auto"/>
            </w:tcBorders>
            <w:shd w:val="clear" w:color="auto" w:fill="F2F2F2" w:themeFill="background1" w:themeFillShade="F2"/>
            <w:vAlign w:val="center"/>
          </w:tcPr>
          <w:p w14:paraId="06FA1D9D" w14:textId="77777777" w:rsidR="00A11194" w:rsidRPr="00627DA0" w:rsidRDefault="00A11194" w:rsidP="002B151F">
            <w:pPr>
              <w:jc w:val="center"/>
              <w:rPr>
                <w:rFonts w:cs="Calibri Light"/>
                <w:sz w:val="20"/>
                <w:szCs w:val="20"/>
              </w:rPr>
            </w:pPr>
            <w:r w:rsidRPr="00627DA0">
              <w:rPr>
                <w:rFonts w:cs="Calibri Light"/>
                <w:sz w:val="20"/>
                <w:szCs w:val="20"/>
              </w:rPr>
              <w:t>N/A</w:t>
            </w:r>
          </w:p>
        </w:tc>
        <w:tc>
          <w:tcPr>
            <w:tcW w:w="1875" w:type="dxa"/>
            <w:tcBorders>
              <w:top w:val="single" w:sz="4" w:space="0" w:color="auto"/>
              <w:bottom w:val="single" w:sz="4" w:space="0" w:color="auto"/>
            </w:tcBorders>
            <w:shd w:val="clear" w:color="auto" w:fill="F2F2F2" w:themeFill="background1" w:themeFillShade="F2"/>
            <w:vAlign w:val="center"/>
          </w:tcPr>
          <w:p w14:paraId="444ECA7B" w14:textId="77777777" w:rsidR="00A11194" w:rsidRPr="00627DA0" w:rsidRDefault="00A11194" w:rsidP="002B151F">
            <w:pPr>
              <w:jc w:val="center"/>
              <w:rPr>
                <w:rFonts w:cs="Calibri Light"/>
                <w:sz w:val="20"/>
                <w:szCs w:val="20"/>
              </w:rPr>
            </w:pPr>
            <w:r w:rsidRPr="00627DA0">
              <w:rPr>
                <w:rFonts w:cs="Calibri Light"/>
                <w:sz w:val="20"/>
                <w:szCs w:val="20"/>
              </w:rPr>
              <w:t>$15/MWh</w:t>
            </w:r>
          </w:p>
          <w:p w14:paraId="1DBA9E3D" w14:textId="77777777" w:rsidR="00A11194" w:rsidRPr="00627DA0" w:rsidRDefault="00A11194" w:rsidP="002B151F">
            <w:pPr>
              <w:jc w:val="center"/>
              <w:rPr>
                <w:rFonts w:cs="Calibri Light"/>
                <w:sz w:val="20"/>
                <w:szCs w:val="20"/>
              </w:rPr>
            </w:pPr>
            <w:r w:rsidRPr="00627DA0">
              <w:rPr>
                <w:rFonts w:cs="Calibri Light"/>
                <w:sz w:val="20"/>
                <w:szCs w:val="20"/>
              </w:rPr>
              <w:t>$48/kW-year</w:t>
            </w:r>
          </w:p>
        </w:tc>
      </w:tr>
      <w:tr w:rsidR="00A11194" w:rsidRPr="00627DA0" w14:paraId="761B26E6" w14:textId="77777777" w:rsidTr="002B151F">
        <w:trPr>
          <w:trHeight w:val="831"/>
        </w:trPr>
        <w:tc>
          <w:tcPr>
            <w:tcW w:w="1165" w:type="dxa"/>
            <w:tcBorders>
              <w:top w:val="single" w:sz="4" w:space="0" w:color="auto"/>
              <w:bottom w:val="single" w:sz="12" w:space="0" w:color="auto"/>
            </w:tcBorders>
          </w:tcPr>
          <w:p w14:paraId="30278804" w14:textId="77777777" w:rsidR="00A11194" w:rsidRPr="00627DA0" w:rsidRDefault="00A11194" w:rsidP="002B151F">
            <w:pPr>
              <w:rPr>
                <w:rFonts w:cs="Calibri Light"/>
                <w:sz w:val="20"/>
                <w:szCs w:val="20"/>
              </w:rPr>
            </w:pPr>
          </w:p>
        </w:tc>
        <w:tc>
          <w:tcPr>
            <w:tcW w:w="2579" w:type="dxa"/>
            <w:tcBorders>
              <w:top w:val="single" w:sz="4" w:space="0" w:color="auto"/>
              <w:bottom w:val="single" w:sz="12" w:space="0" w:color="auto"/>
            </w:tcBorders>
            <w:vAlign w:val="center"/>
          </w:tcPr>
          <w:p w14:paraId="7799DEF6" w14:textId="77777777" w:rsidR="00A11194" w:rsidRPr="00627DA0" w:rsidRDefault="00A11194" w:rsidP="002B151F">
            <w:pPr>
              <w:jc w:val="center"/>
              <w:rPr>
                <w:rFonts w:cs="Calibri Light"/>
                <w:b/>
                <w:bCs/>
                <w:sz w:val="20"/>
                <w:szCs w:val="20"/>
              </w:rPr>
            </w:pPr>
            <w:r w:rsidRPr="00627DA0">
              <w:rPr>
                <w:rFonts w:cs="Calibri Light"/>
                <w:b/>
                <w:bCs/>
                <w:sz w:val="20"/>
                <w:szCs w:val="20"/>
              </w:rPr>
              <w:t>NW Power Act Credit</w:t>
            </w:r>
          </w:p>
        </w:tc>
        <w:tc>
          <w:tcPr>
            <w:tcW w:w="1874" w:type="dxa"/>
            <w:tcBorders>
              <w:top w:val="single" w:sz="4" w:space="0" w:color="auto"/>
              <w:bottom w:val="single" w:sz="12" w:space="0" w:color="auto"/>
            </w:tcBorders>
            <w:vAlign w:val="center"/>
          </w:tcPr>
          <w:p w14:paraId="650B7794" w14:textId="77777777" w:rsidR="00A11194" w:rsidRPr="00627DA0" w:rsidRDefault="00A11194" w:rsidP="002B151F">
            <w:pPr>
              <w:jc w:val="center"/>
              <w:rPr>
                <w:rFonts w:cs="Calibri Light"/>
                <w:sz w:val="20"/>
                <w:szCs w:val="20"/>
              </w:rPr>
            </w:pPr>
            <w:r w:rsidRPr="00627DA0">
              <w:rPr>
                <w:rFonts w:cs="Calibri Light"/>
                <w:sz w:val="20"/>
                <w:szCs w:val="20"/>
              </w:rPr>
              <w:t>10%</w:t>
            </w:r>
          </w:p>
        </w:tc>
        <w:tc>
          <w:tcPr>
            <w:tcW w:w="1874" w:type="dxa"/>
            <w:tcBorders>
              <w:top w:val="single" w:sz="4" w:space="0" w:color="auto"/>
              <w:bottom w:val="single" w:sz="12" w:space="0" w:color="auto"/>
            </w:tcBorders>
            <w:vAlign w:val="center"/>
          </w:tcPr>
          <w:p w14:paraId="03F75E7B" w14:textId="77777777" w:rsidR="00A11194" w:rsidRPr="00627DA0" w:rsidRDefault="00A11194" w:rsidP="002B151F">
            <w:pPr>
              <w:jc w:val="center"/>
              <w:rPr>
                <w:rFonts w:cs="Calibri Light"/>
                <w:sz w:val="20"/>
                <w:szCs w:val="20"/>
              </w:rPr>
            </w:pPr>
            <w:r w:rsidRPr="00627DA0">
              <w:rPr>
                <w:rFonts w:cs="Calibri Light"/>
                <w:sz w:val="20"/>
                <w:szCs w:val="20"/>
              </w:rPr>
              <w:t>10%</w:t>
            </w:r>
          </w:p>
        </w:tc>
        <w:tc>
          <w:tcPr>
            <w:tcW w:w="1875" w:type="dxa"/>
            <w:tcBorders>
              <w:top w:val="single" w:sz="4" w:space="0" w:color="auto"/>
              <w:bottom w:val="single" w:sz="12" w:space="0" w:color="auto"/>
            </w:tcBorders>
            <w:vAlign w:val="center"/>
          </w:tcPr>
          <w:p w14:paraId="43F055DF" w14:textId="77777777" w:rsidR="00A11194" w:rsidRPr="00627DA0" w:rsidRDefault="00A11194" w:rsidP="002B151F">
            <w:pPr>
              <w:jc w:val="center"/>
              <w:rPr>
                <w:rFonts w:cs="Calibri Light"/>
                <w:sz w:val="20"/>
                <w:szCs w:val="20"/>
              </w:rPr>
            </w:pPr>
            <w:r w:rsidRPr="00627DA0">
              <w:rPr>
                <w:rFonts w:cs="Calibri Light"/>
                <w:sz w:val="20"/>
                <w:szCs w:val="20"/>
              </w:rPr>
              <w:t>10%</w:t>
            </w:r>
          </w:p>
        </w:tc>
      </w:tr>
    </w:tbl>
    <w:p w14:paraId="5908A8B7" w14:textId="77777777" w:rsidR="007A443C" w:rsidRPr="00627DA0" w:rsidRDefault="007A443C" w:rsidP="007A443C"/>
    <w:p w14:paraId="2E65DB87" w14:textId="77777777" w:rsidR="001C59CC" w:rsidRPr="00627DA0" w:rsidRDefault="001C59CC">
      <w:pPr>
        <w:rPr>
          <w:rFonts w:asciiTheme="majorHAnsi" w:eastAsiaTheme="majorEastAsia" w:hAnsiTheme="majorHAnsi" w:cstheme="majorBidi"/>
          <w:b/>
          <w:color w:val="002C7C" w:themeColor="accent1"/>
          <w:sz w:val="32"/>
          <w:szCs w:val="32"/>
        </w:rPr>
      </w:pPr>
      <w:r w:rsidRPr="00627DA0">
        <w:br w:type="page"/>
      </w:r>
    </w:p>
    <w:p w14:paraId="09DBE06B" w14:textId="1BBFF6A5" w:rsidR="0000445D" w:rsidRPr="00627DA0" w:rsidRDefault="0000445D" w:rsidP="0000445D">
      <w:pPr>
        <w:pStyle w:val="Heading1"/>
      </w:pPr>
      <w:bookmarkStart w:id="166" w:name="_Toc207870696"/>
      <w:r w:rsidRPr="00627DA0">
        <w:lastRenderedPageBreak/>
        <w:t>Appendix V: Measure List</w:t>
      </w:r>
      <w:bookmarkEnd w:id="166"/>
    </w:p>
    <w:p w14:paraId="2039D6BE" w14:textId="035590D9" w:rsidR="00D65589" w:rsidRPr="00627DA0" w:rsidRDefault="00F63942" w:rsidP="00F63942">
      <w:r w:rsidRPr="00627DA0">
        <w:t>This appendix provides a list of the measures that were included in th</w:t>
      </w:r>
      <w:r w:rsidR="00BD5DA4" w:rsidRPr="00627DA0">
        <w:t>is assessment</w:t>
      </w:r>
      <w:r w:rsidR="00414BD2" w:rsidRPr="00627DA0">
        <w:t xml:space="preserve"> and the data sources that were used for </w:t>
      </w:r>
      <w:r w:rsidR="008B21D9" w:rsidRPr="00627DA0">
        <w:t>any measure characteristics</w:t>
      </w:r>
      <w:r w:rsidR="00BD5DA4" w:rsidRPr="00627DA0">
        <w:t xml:space="preserve">. </w:t>
      </w:r>
      <w:r w:rsidR="008B21D9" w:rsidRPr="00627DA0">
        <w:t>The assessment used</w:t>
      </w:r>
      <w:r w:rsidR="00A9564B" w:rsidRPr="00627DA0">
        <w:t xml:space="preserve"> all</w:t>
      </w:r>
      <w:r w:rsidR="00B265DF" w:rsidRPr="00627DA0">
        <w:t xml:space="preserve"> measures from the </w:t>
      </w:r>
      <w:r w:rsidR="00A9564B" w:rsidRPr="00627DA0">
        <w:t>2021</w:t>
      </w:r>
      <w:r w:rsidR="00B265DF" w:rsidRPr="00627DA0">
        <w:t xml:space="preserve"> Power Plan</w:t>
      </w:r>
      <w:r w:rsidR="008B21D9" w:rsidRPr="00627DA0">
        <w:t xml:space="preserve"> that were applicable to </w:t>
      </w:r>
      <w:r w:rsidR="0032364D" w:rsidRPr="00627DA0">
        <w:t>Inland Power</w:t>
      </w:r>
      <w:r w:rsidR="00B9738F" w:rsidRPr="00627DA0">
        <w:t>. The project team</w:t>
      </w:r>
      <w:r w:rsidR="005312E0" w:rsidRPr="00627DA0">
        <w:t xml:space="preserve"> customized these measures to make them specific to </w:t>
      </w:r>
      <w:r w:rsidR="0032364D" w:rsidRPr="00627DA0">
        <w:t>Inland Power</w:t>
      </w:r>
      <w:r w:rsidR="005312E0" w:rsidRPr="00627DA0">
        <w:t xml:space="preserve">’s service territory and updated </w:t>
      </w:r>
      <w:r w:rsidR="00332789" w:rsidRPr="00627DA0">
        <w:t>many</w:t>
      </w:r>
      <w:r w:rsidR="005312E0" w:rsidRPr="00627DA0">
        <w:t xml:space="preserve"> with new information available from the Regional Technical Forum</w:t>
      </w:r>
      <w:r w:rsidR="000772B3" w:rsidRPr="00627DA0">
        <w:t xml:space="preserve">. </w:t>
      </w:r>
      <w:r w:rsidR="009A53BB" w:rsidRPr="00627DA0">
        <w:t>The RTF continually updates estimates of measure savings and cost</w:t>
      </w:r>
      <w:r w:rsidR="00802AFE" w:rsidRPr="00627DA0">
        <w:t xml:space="preserve">. This assessment used the most up to date information available when the </w:t>
      </w:r>
      <w:r w:rsidR="001E2E57" w:rsidRPr="00627DA0">
        <w:t>CPA was developed.</w:t>
      </w:r>
    </w:p>
    <w:p w14:paraId="6FF34D29" w14:textId="29D872C1" w:rsidR="00F63942" w:rsidRPr="00627DA0" w:rsidRDefault="00BD5DA4" w:rsidP="00F63942">
      <w:r w:rsidRPr="00627DA0">
        <w:t xml:space="preserve">This list is high-level and does not reflect the thousands </w:t>
      </w:r>
      <w:r w:rsidR="00FC31C1" w:rsidRPr="00627DA0">
        <w:t>of variations for each individual measure. Instead, it summarizes measures by category</w:t>
      </w:r>
      <w:r w:rsidR="009D6704" w:rsidRPr="00627DA0">
        <w:t>. Many measures include variations specific to different home or building types</w:t>
      </w:r>
      <w:r w:rsidR="001F04D4" w:rsidRPr="00627DA0">
        <w:t xml:space="preserve">, efficiency level, or other characterization. </w:t>
      </w:r>
      <w:r w:rsidR="00993450" w:rsidRPr="00627DA0">
        <w:t xml:space="preserve">For </w:t>
      </w:r>
      <w:r w:rsidR="001E2E57" w:rsidRPr="00627DA0">
        <w:t>example,</w:t>
      </w:r>
      <w:r w:rsidR="00993450" w:rsidRPr="00627DA0">
        <w:t xml:space="preserve"> </w:t>
      </w:r>
      <w:r w:rsidR="009532ED" w:rsidRPr="00627DA0">
        <w:t>attic insulation measures are differentiated by home type (</w:t>
      </w:r>
      <w:r w:rsidR="00AC0132" w:rsidRPr="00627DA0">
        <w:t>e.g.</w:t>
      </w:r>
      <w:r w:rsidR="009B413D" w:rsidRPr="00627DA0">
        <w:t>,</w:t>
      </w:r>
      <w:r w:rsidR="00AC0132" w:rsidRPr="00627DA0">
        <w:t xml:space="preserve"> </w:t>
      </w:r>
      <w:r w:rsidR="009532ED" w:rsidRPr="00627DA0">
        <w:t>single family, m</w:t>
      </w:r>
      <w:r w:rsidR="00AC0132" w:rsidRPr="00627DA0">
        <w:t>ultifamily, manufactured home), heating system (e.g.</w:t>
      </w:r>
      <w:r w:rsidR="009B413D" w:rsidRPr="00627DA0">
        <w:t>,</w:t>
      </w:r>
      <w:r w:rsidR="00AC0132" w:rsidRPr="00627DA0">
        <w:t xml:space="preserve"> heat pump or furnace), </w:t>
      </w:r>
      <w:r w:rsidR="00E63267" w:rsidRPr="00627DA0">
        <w:t xml:space="preserve">baseline insulation </w:t>
      </w:r>
      <w:r w:rsidR="00F041E2" w:rsidRPr="00627DA0">
        <w:t xml:space="preserve">level </w:t>
      </w:r>
      <w:r w:rsidR="00E63267" w:rsidRPr="00627DA0">
        <w:t>(e.g.</w:t>
      </w:r>
      <w:r w:rsidR="009B413D" w:rsidRPr="00627DA0">
        <w:t>,</w:t>
      </w:r>
      <w:r w:rsidR="00E63267" w:rsidRPr="00627DA0">
        <w:t xml:space="preserve"> R0, R11, etc.) and maximum insulation possible (e.g.</w:t>
      </w:r>
      <w:r w:rsidR="009B413D" w:rsidRPr="00627DA0">
        <w:t>,</w:t>
      </w:r>
      <w:r w:rsidR="00E63267" w:rsidRPr="00627DA0">
        <w:t xml:space="preserve"> R22, R30</w:t>
      </w:r>
      <w:r w:rsidR="00F33A4B" w:rsidRPr="00627DA0">
        <w:t xml:space="preserve">, R38, R49). This differentiation allows </w:t>
      </w:r>
      <w:r w:rsidR="00D65589" w:rsidRPr="00627DA0">
        <w:t xml:space="preserve">for savings and cost estimates to be more precise. </w:t>
      </w:r>
    </w:p>
    <w:p w14:paraId="64E524C3" w14:textId="75E922F7" w:rsidR="00D65589" w:rsidRPr="00627DA0" w:rsidRDefault="00D65589" w:rsidP="00F63942">
      <w:r w:rsidRPr="00627DA0">
        <w:t>The measure</w:t>
      </w:r>
      <w:r w:rsidR="001E2E57" w:rsidRPr="00627DA0">
        <w:t xml:space="preserve"> list is grouped by sector and end use</w:t>
      </w:r>
      <w:r w:rsidR="000772B3" w:rsidRPr="00627DA0">
        <w:t xml:space="preserve">. </w:t>
      </w:r>
      <w:r w:rsidR="00C5529E" w:rsidRPr="00627DA0">
        <w:t>Note that all measures may not be applicable to an individual utility service territory based on the characteristics of individual utilities and their customer sectors.</w:t>
      </w:r>
    </w:p>
    <w:p w14:paraId="3570E149" w14:textId="7ABA5E5B" w:rsidR="001C7854" w:rsidRPr="00627DA0" w:rsidRDefault="001C7854">
      <w:r w:rsidRPr="00627DA0">
        <w:br w:type="page"/>
      </w:r>
    </w:p>
    <w:p w14:paraId="4BE3EFC2" w14:textId="06748B2C" w:rsidR="00FD5B36" w:rsidRPr="00627DA0" w:rsidRDefault="00967145" w:rsidP="00967145">
      <w:pPr>
        <w:pStyle w:val="Caption"/>
      </w:pPr>
      <w:bookmarkStart w:id="167" w:name="_Toc207870743"/>
      <w:r w:rsidRPr="00627DA0">
        <w:lastRenderedPageBreak/>
        <w:t xml:space="preserve">Table </w:t>
      </w:r>
      <w:fldSimple w:instr=" SEQ Table \* ARABIC ">
        <w:r w:rsidR="00431297" w:rsidRPr="00627DA0">
          <w:t>14</w:t>
        </w:r>
      </w:fldSimple>
      <w:r w:rsidRPr="00627DA0">
        <w:t>: Residential End Uses and Measures</w:t>
      </w:r>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983"/>
        <w:gridCol w:w="3117"/>
      </w:tblGrid>
      <w:tr w:rsidR="00287ADA" w:rsidRPr="00627DA0" w14:paraId="23F35F2A" w14:textId="77777777" w:rsidTr="00460075">
        <w:tc>
          <w:tcPr>
            <w:tcW w:w="2250" w:type="dxa"/>
            <w:tcBorders>
              <w:top w:val="single" w:sz="12" w:space="0" w:color="auto"/>
            </w:tcBorders>
            <w:shd w:val="clear" w:color="auto" w:fill="00205C" w:themeFill="accent1" w:themeFillShade="BF"/>
          </w:tcPr>
          <w:p w14:paraId="0B3A4488" w14:textId="77777777" w:rsidR="00287ADA" w:rsidRPr="00627DA0" w:rsidRDefault="00287ADA" w:rsidP="00460075">
            <w:pPr>
              <w:rPr>
                <w:b/>
                <w:bCs/>
                <w:sz w:val="20"/>
                <w:szCs w:val="20"/>
              </w:rPr>
            </w:pPr>
            <w:r w:rsidRPr="00627DA0">
              <w:rPr>
                <w:b/>
                <w:bCs/>
                <w:sz w:val="20"/>
                <w:szCs w:val="20"/>
              </w:rPr>
              <w:t>End Use</w:t>
            </w:r>
          </w:p>
        </w:tc>
        <w:tc>
          <w:tcPr>
            <w:tcW w:w="3983" w:type="dxa"/>
            <w:tcBorders>
              <w:top w:val="single" w:sz="12" w:space="0" w:color="auto"/>
            </w:tcBorders>
            <w:shd w:val="clear" w:color="auto" w:fill="00205C" w:themeFill="accent1" w:themeFillShade="BF"/>
          </w:tcPr>
          <w:p w14:paraId="5563C6EF" w14:textId="77777777" w:rsidR="00287ADA" w:rsidRPr="00627DA0" w:rsidRDefault="00287ADA" w:rsidP="00460075">
            <w:pPr>
              <w:rPr>
                <w:b/>
                <w:bCs/>
                <w:sz w:val="20"/>
                <w:szCs w:val="20"/>
              </w:rPr>
            </w:pPr>
            <w:r w:rsidRPr="00627DA0">
              <w:rPr>
                <w:b/>
                <w:bCs/>
                <w:sz w:val="20"/>
                <w:szCs w:val="20"/>
              </w:rPr>
              <w:t>Measure Category</w:t>
            </w:r>
          </w:p>
        </w:tc>
        <w:tc>
          <w:tcPr>
            <w:tcW w:w="3117" w:type="dxa"/>
            <w:tcBorders>
              <w:top w:val="single" w:sz="12" w:space="0" w:color="auto"/>
            </w:tcBorders>
            <w:shd w:val="clear" w:color="auto" w:fill="00205C" w:themeFill="accent1" w:themeFillShade="BF"/>
          </w:tcPr>
          <w:p w14:paraId="6FD39B22" w14:textId="77777777" w:rsidR="00287ADA" w:rsidRPr="00627DA0" w:rsidRDefault="00287ADA" w:rsidP="00460075">
            <w:pPr>
              <w:rPr>
                <w:b/>
                <w:bCs/>
                <w:sz w:val="20"/>
                <w:szCs w:val="20"/>
              </w:rPr>
            </w:pPr>
            <w:r w:rsidRPr="00627DA0">
              <w:rPr>
                <w:b/>
                <w:bCs/>
                <w:sz w:val="20"/>
                <w:szCs w:val="20"/>
              </w:rPr>
              <w:t>Data Source(s)</w:t>
            </w:r>
          </w:p>
        </w:tc>
      </w:tr>
      <w:tr w:rsidR="00287ADA" w:rsidRPr="00627DA0" w14:paraId="0E641282" w14:textId="77777777" w:rsidTr="00460075">
        <w:tc>
          <w:tcPr>
            <w:tcW w:w="2250" w:type="dxa"/>
          </w:tcPr>
          <w:p w14:paraId="4A9692D1" w14:textId="77777777" w:rsidR="00287ADA" w:rsidRPr="00627DA0" w:rsidRDefault="00287ADA" w:rsidP="00460075">
            <w:pPr>
              <w:rPr>
                <w:rFonts w:cs="Calibri Light"/>
                <w:sz w:val="20"/>
                <w:szCs w:val="20"/>
              </w:rPr>
            </w:pPr>
            <w:r w:rsidRPr="00627DA0">
              <w:rPr>
                <w:rFonts w:cs="Calibri Light"/>
                <w:sz w:val="20"/>
                <w:szCs w:val="20"/>
              </w:rPr>
              <w:t>Appliances</w:t>
            </w:r>
          </w:p>
        </w:tc>
        <w:tc>
          <w:tcPr>
            <w:tcW w:w="3983" w:type="dxa"/>
          </w:tcPr>
          <w:p w14:paraId="0D8B3D7C" w14:textId="77777777" w:rsidR="00287ADA" w:rsidRPr="00627DA0" w:rsidRDefault="00287ADA" w:rsidP="00460075">
            <w:pPr>
              <w:rPr>
                <w:rFonts w:cs="Calibri Light"/>
                <w:sz w:val="20"/>
                <w:szCs w:val="20"/>
              </w:rPr>
            </w:pPr>
            <w:r w:rsidRPr="00627DA0">
              <w:rPr>
                <w:rFonts w:cs="Calibri Light"/>
                <w:sz w:val="20"/>
                <w:szCs w:val="20"/>
              </w:rPr>
              <w:t>Air Cleaner</w:t>
            </w:r>
          </w:p>
        </w:tc>
        <w:tc>
          <w:tcPr>
            <w:tcW w:w="3117" w:type="dxa"/>
          </w:tcPr>
          <w:p w14:paraId="31C2848E"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3E47D84C" w14:textId="77777777" w:rsidTr="00460075">
        <w:tc>
          <w:tcPr>
            <w:tcW w:w="2250" w:type="dxa"/>
          </w:tcPr>
          <w:p w14:paraId="3026AD51" w14:textId="77777777" w:rsidR="00287ADA" w:rsidRPr="00627DA0" w:rsidRDefault="00287ADA" w:rsidP="00460075">
            <w:pPr>
              <w:rPr>
                <w:rFonts w:cs="Calibri Light"/>
                <w:sz w:val="20"/>
                <w:szCs w:val="20"/>
              </w:rPr>
            </w:pPr>
          </w:p>
        </w:tc>
        <w:tc>
          <w:tcPr>
            <w:tcW w:w="3983" w:type="dxa"/>
            <w:shd w:val="clear" w:color="auto" w:fill="F2F2F2" w:themeFill="background1" w:themeFillShade="F2"/>
          </w:tcPr>
          <w:p w14:paraId="56D3B6B8" w14:textId="77777777" w:rsidR="00287ADA" w:rsidRPr="00627DA0" w:rsidRDefault="00287ADA" w:rsidP="00460075">
            <w:pPr>
              <w:rPr>
                <w:rFonts w:cs="Calibri Light"/>
                <w:sz w:val="20"/>
                <w:szCs w:val="20"/>
              </w:rPr>
            </w:pPr>
            <w:r w:rsidRPr="00627DA0">
              <w:rPr>
                <w:rFonts w:cs="Calibri Light"/>
                <w:sz w:val="20"/>
                <w:szCs w:val="20"/>
              </w:rPr>
              <w:t>Clothes Washer</w:t>
            </w:r>
          </w:p>
        </w:tc>
        <w:tc>
          <w:tcPr>
            <w:tcW w:w="3117" w:type="dxa"/>
            <w:shd w:val="clear" w:color="auto" w:fill="F2F2F2" w:themeFill="background1" w:themeFillShade="F2"/>
          </w:tcPr>
          <w:p w14:paraId="131596D3"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5CCE33DC" w14:textId="77777777" w:rsidTr="00460075">
        <w:tc>
          <w:tcPr>
            <w:tcW w:w="2250" w:type="dxa"/>
          </w:tcPr>
          <w:p w14:paraId="6541A590" w14:textId="77777777" w:rsidR="00287ADA" w:rsidRPr="00627DA0" w:rsidRDefault="00287ADA" w:rsidP="00460075">
            <w:pPr>
              <w:rPr>
                <w:rFonts w:cs="Calibri Light"/>
                <w:sz w:val="20"/>
                <w:szCs w:val="20"/>
              </w:rPr>
            </w:pPr>
          </w:p>
        </w:tc>
        <w:tc>
          <w:tcPr>
            <w:tcW w:w="3983" w:type="dxa"/>
          </w:tcPr>
          <w:p w14:paraId="227969DE" w14:textId="77777777" w:rsidR="00287ADA" w:rsidRPr="00627DA0" w:rsidRDefault="00287ADA" w:rsidP="00460075">
            <w:pPr>
              <w:rPr>
                <w:rFonts w:cs="Calibri Light"/>
                <w:sz w:val="20"/>
                <w:szCs w:val="20"/>
              </w:rPr>
            </w:pPr>
            <w:r w:rsidRPr="00627DA0">
              <w:rPr>
                <w:rFonts w:cs="Calibri Light"/>
                <w:sz w:val="20"/>
                <w:szCs w:val="20"/>
              </w:rPr>
              <w:t>Clothes Dryer</w:t>
            </w:r>
          </w:p>
        </w:tc>
        <w:tc>
          <w:tcPr>
            <w:tcW w:w="3117" w:type="dxa"/>
          </w:tcPr>
          <w:p w14:paraId="26DF3A59"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6ADD18F5" w14:textId="77777777" w:rsidTr="00460075">
        <w:tc>
          <w:tcPr>
            <w:tcW w:w="2250" w:type="dxa"/>
          </w:tcPr>
          <w:p w14:paraId="6DA85C5B" w14:textId="77777777" w:rsidR="00287ADA" w:rsidRPr="00627DA0" w:rsidRDefault="00287ADA" w:rsidP="00460075">
            <w:pPr>
              <w:rPr>
                <w:rFonts w:cs="Calibri Light"/>
                <w:sz w:val="20"/>
                <w:szCs w:val="20"/>
              </w:rPr>
            </w:pPr>
          </w:p>
        </w:tc>
        <w:tc>
          <w:tcPr>
            <w:tcW w:w="3983" w:type="dxa"/>
            <w:shd w:val="clear" w:color="auto" w:fill="F2F2F2" w:themeFill="background1" w:themeFillShade="F2"/>
          </w:tcPr>
          <w:p w14:paraId="6EEBFC4D" w14:textId="77777777" w:rsidR="00287ADA" w:rsidRPr="00627DA0" w:rsidRDefault="00287ADA" w:rsidP="00460075">
            <w:pPr>
              <w:rPr>
                <w:rFonts w:cs="Calibri Light"/>
                <w:sz w:val="20"/>
                <w:szCs w:val="20"/>
              </w:rPr>
            </w:pPr>
            <w:r w:rsidRPr="00627DA0">
              <w:rPr>
                <w:rFonts w:cs="Calibri Light"/>
                <w:sz w:val="20"/>
                <w:szCs w:val="20"/>
              </w:rPr>
              <w:t>Freezer</w:t>
            </w:r>
          </w:p>
        </w:tc>
        <w:tc>
          <w:tcPr>
            <w:tcW w:w="3117" w:type="dxa"/>
            <w:shd w:val="clear" w:color="auto" w:fill="F2F2F2" w:themeFill="background1" w:themeFillShade="F2"/>
          </w:tcPr>
          <w:p w14:paraId="6E3B0FE1" w14:textId="208E5A67" w:rsidR="00287ADA" w:rsidRPr="00627DA0" w:rsidRDefault="00287ADA" w:rsidP="00460075">
            <w:pPr>
              <w:rPr>
                <w:rFonts w:cs="Calibri Light"/>
                <w:sz w:val="20"/>
                <w:szCs w:val="20"/>
              </w:rPr>
            </w:pPr>
            <w:r w:rsidRPr="00627DA0">
              <w:rPr>
                <w:rFonts w:cs="Calibri Light"/>
                <w:sz w:val="20"/>
                <w:szCs w:val="20"/>
              </w:rPr>
              <w:t>2021 Power Plan</w:t>
            </w:r>
            <w:r w:rsidR="00E649C4" w:rsidRPr="00627DA0">
              <w:rPr>
                <w:rFonts w:cs="Calibri Light"/>
                <w:sz w:val="20"/>
                <w:szCs w:val="20"/>
              </w:rPr>
              <w:t>, RTF</w:t>
            </w:r>
          </w:p>
        </w:tc>
      </w:tr>
      <w:tr w:rsidR="00287ADA" w:rsidRPr="00627DA0" w14:paraId="049425FD" w14:textId="77777777" w:rsidTr="00460075">
        <w:tc>
          <w:tcPr>
            <w:tcW w:w="2250" w:type="dxa"/>
            <w:tcBorders>
              <w:bottom w:val="single" w:sz="4" w:space="0" w:color="auto"/>
            </w:tcBorders>
          </w:tcPr>
          <w:p w14:paraId="3F135056" w14:textId="77777777" w:rsidR="00287ADA" w:rsidRPr="00627DA0" w:rsidRDefault="00287ADA" w:rsidP="00460075">
            <w:pPr>
              <w:rPr>
                <w:rFonts w:cs="Calibri Light"/>
                <w:sz w:val="20"/>
                <w:szCs w:val="20"/>
              </w:rPr>
            </w:pPr>
          </w:p>
        </w:tc>
        <w:tc>
          <w:tcPr>
            <w:tcW w:w="3983" w:type="dxa"/>
            <w:tcBorders>
              <w:bottom w:val="single" w:sz="4" w:space="0" w:color="auto"/>
            </w:tcBorders>
          </w:tcPr>
          <w:p w14:paraId="62FDCB48" w14:textId="77777777" w:rsidR="00287ADA" w:rsidRPr="00627DA0" w:rsidRDefault="00287ADA" w:rsidP="00460075">
            <w:pPr>
              <w:rPr>
                <w:rFonts w:cs="Calibri Light"/>
                <w:sz w:val="20"/>
                <w:szCs w:val="20"/>
              </w:rPr>
            </w:pPr>
            <w:r w:rsidRPr="00627DA0">
              <w:rPr>
                <w:rFonts w:cs="Calibri Light"/>
                <w:sz w:val="20"/>
                <w:szCs w:val="20"/>
              </w:rPr>
              <w:t>Refrigerator</w:t>
            </w:r>
          </w:p>
        </w:tc>
        <w:tc>
          <w:tcPr>
            <w:tcW w:w="3117" w:type="dxa"/>
            <w:tcBorders>
              <w:bottom w:val="single" w:sz="4" w:space="0" w:color="auto"/>
            </w:tcBorders>
          </w:tcPr>
          <w:p w14:paraId="3D6C7368" w14:textId="464579A0" w:rsidR="00287ADA" w:rsidRPr="00627DA0" w:rsidRDefault="00287ADA" w:rsidP="00460075">
            <w:pPr>
              <w:rPr>
                <w:rFonts w:cs="Calibri Light"/>
                <w:sz w:val="20"/>
                <w:szCs w:val="20"/>
              </w:rPr>
            </w:pPr>
            <w:r w:rsidRPr="00627DA0">
              <w:rPr>
                <w:rFonts w:cs="Calibri Light"/>
                <w:sz w:val="20"/>
                <w:szCs w:val="20"/>
              </w:rPr>
              <w:t>2021 Power Plan</w:t>
            </w:r>
            <w:r w:rsidR="00E649C4" w:rsidRPr="00627DA0">
              <w:rPr>
                <w:rFonts w:cs="Calibri Light"/>
                <w:sz w:val="20"/>
                <w:szCs w:val="20"/>
              </w:rPr>
              <w:t>, RTF</w:t>
            </w:r>
          </w:p>
        </w:tc>
      </w:tr>
      <w:tr w:rsidR="00287ADA" w:rsidRPr="00627DA0" w14:paraId="4B341B97" w14:textId="77777777" w:rsidTr="00460075">
        <w:tc>
          <w:tcPr>
            <w:tcW w:w="2250" w:type="dxa"/>
            <w:vMerge w:val="restart"/>
            <w:tcBorders>
              <w:top w:val="single" w:sz="4" w:space="0" w:color="auto"/>
            </w:tcBorders>
          </w:tcPr>
          <w:p w14:paraId="42822025" w14:textId="77777777" w:rsidR="00287ADA" w:rsidRPr="00627DA0" w:rsidRDefault="00287ADA" w:rsidP="00460075">
            <w:pPr>
              <w:rPr>
                <w:rFonts w:cs="Calibri Light"/>
                <w:sz w:val="20"/>
                <w:szCs w:val="20"/>
              </w:rPr>
            </w:pPr>
            <w:r w:rsidRPr="00627DA0">
              <w:rPr>
                <w:rFonts w:cs="Calibri Light"/>
                <w:sz w:val="20"/>
                <w:szCs w:val="20"/>
              </w:rPr>
              <w:t>Cooking</w:t>
            </w:r>
          </w:p>
        </w:tc>
        <w:tc>
          <w:tcPr>
            <w:tcW w:w="3983" w:type="dxa"/>
            <w:tcBorders>
              <w:top w:val="single" w:sz="4" w:space="0" w:color="auto"/>
            </w:tcBorders>
            <w:shd w:val="clear" w:color="auto" w:fill="F2F2F2" w:themeFill="background1" w:themeFillShade="F2"/>
          </w:tcPr>
          <w:p w14:paraId="1517FEFD" w14:textId="77777777" w:rsidR="00287ADA" w:rsidRPr="00627DA0" w:rsidRDefault="00287ADA" w:rsidP="00460075">
            <w:pPr>
              <w:rPr>
                <w:rFonts w:cs="Calibri Light"/>
                <w:sz w:val="20"/>
                <w:szCs w:val="20"/>
              </w:rPr>
            </w:pPr>
            <w:r w:rsidRPr="00627DA0">
              <w:rPr>
                <w:rFonts w:cs="Calibri Light"/>
                <w:sz w:val="20"/>
                <w:szCs w:val="20"/>
              </w:rPr>
              <w:t>Electric Oven</w:t>
            </w:r>
          </w:p>
        </w:tc>
        <w:tc>
          <w:tcPr>
            <w:tcW w:w="3117" w:type="dxa"/>
            <w:tcBorders>
              <w:top w:val="single" w:sz="4" w:space="0" w:color="auto"/>
            </w:tcBorders>
            <w:shd w:val="clear" w:color="auto" w:fill="F2F2F2" w:themeFill="background1" w:themeFillShade="F2"/>
          </w:tcPr>
          <w:p w14:paraId="549DF7B1"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7B0EFF4D" w14:textId="77777777" w:rsidTr="00460075">
        <w:tc>
          <w:tcPr>
            <w:tcW w:w="2250" w:type="dxa"/>
            <w:vMerge/>
            <w:tcBorders>
              <w:bottom w:val="single" w:sz="4" w:space="0" w:color="auto"/>
            </w:tcBorders>
          </w:tcPr>
          <w:p w14:paraId="291344FA" w14:textId="77777777" w:rsidR="00287ADA" w:rsidRPr="00627DA0" w:rsidRDefault="00287ADA" w:rsidP="00460075">
            <w:pPr>
              <w:rPr>
                <w:rFonts w:cs="Calibri Light"/>
                <w:sz w:val="20"/>
                <w:szCs w:val="20"/>
              </w:rPr>
            </w:pPr>
          </w:p>
        </w:tc>
        <w:tc>
          <w:tcPr>
            <w:tcW w:w="3983" w:type="dxa"/>
            <w:tcBorders>
              <w:bottom w:val="single" w:sz="4" w:space="0" w:color="auto"/>
            </w:tcBorders>
          </w:tcPr>
          <w:p w14:paraId="6349EB7B" w14:textId="77777777" w:rsidR="00287ADA" w:rsidRPr="00627DA0" w:rsidRDefault="00287ADA" w:rsidP="00460075">
            <w:pPr>
              <w:rPr>
                <w:rFonts w:cs="Calibri Light"/>
                <w:sz w:val="20"/>
                <w:szCs w:val="20"/>
              </w:rPr>
            </w:pPr>
            <w:r w:rsidRPr="00627DA0">
              <w:rPr>
                <w:rFonts w:cs="Calibri Light"/>
                <w:sz w:val="20"/>
                <w:szCs w:val="20"/>
              </w:rPr>
              <w:t>Microwave</w:t>
            </w:r>
          </w:p>
        </w:tc>
        <w:tc>
          <w:tcPr>
            <w:tcW w:w="3117" w:type="dxa"/>
            <w:tcBorders>
              <w:bottom w:val="single" w:sz="4" w:space="0" w:color="auto"/>
            </w:tcBorders>
          </w:tcPr>
          <w:p w14:paraId="25DBC486"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0E6798DB" w14:textId="77777777" w:rsidTr="00460075">
        <w:tc>
          <w:tcPr>
            <w:tcW w:w="2250" w:type="dxa"/>
            <w:tcBorders>
              <w:top w:val="single" w:sz="4" w:space="0" w:color="auto"/>
            </w:tcBorders>
          </w:tcPr>
          <w:p w14:paraId="096516C6" w14:textId="77777777" w:rsidR="00287ADA" w:rsidRPr="00627DA0" w:rsidRDefault="00287ADA" w:rsidP="00460075">
            <w:pPr>
              <w:rPr>
                <w:rFonts w:cs="Calibri Light"/>
                <w:sz w:val="20"/>
                <w:szCs w:val="20"/>
              </w:rPr>
            </w:pPr>
            <w:r w:rsidRPr="00627DA0">
              <w:rPr>
                <w:rFonts w:cs="Calibri Light"/>
                <w:sz w:val="20"/>
                <w:szCs w:val="20"/>
              </w:rPr>
              <w:t>Electronics</w:t>
            </w:r>
          </w:p>
        </w:tc>
        <w:tc>
          <w:tcPr>
            <w:tcW w:w="3983" w:type="dxa"/>
            <w:tcBorders>
              <w:top w:val="single" w:sz="4" w:space="0" w:color="auto"/>
            </w:tcBorders>
            <w:shd w:val="clear" w:color="auto" w:fill="F2F2F2" w:themeFill="background1" w:themeFillShade="F2"/>
            <w:vAlign w:val="bottom"/>
          </w:tcPr>
          <w:p w14:paraId="06276FB1" w14:textId="77777777" w:rsidR="00287ADA" w:rsidRPr="00627DA0" w:rsidRDefault="00287ADA" w:rsidP="00460075">
            <w:pPr>
              <w:rPr>
                <w:rFonts w:cs="Calibri Light"/>
                <w:sz w:val="20"/>
                <w:szCs w:val="20"/>
              </w:rPr>
            </w:pPr>
            <w:r w:rsidRPr="00627DA0">
              <w:rPr>
                <w:rFonts w:cs="Calibri Light"/>
                <w:color w:val="000000"/>
                <w:sz w:val="20"/>
                <w:szCs w:val="20"/>
              </w:rPr>
              <w:t>Advanced Power Strips</w:t>
            </w:r>
          </w:p>
        </w:tc>
        <w:tc>
          <w:tcPr>
            <w:tcW w:w="3117" w:type="dxa"/>
            <w:tcBorders>
              <w:top w:val="single" w:sz="4" w:space="0" w:color="auto"/>
            </w:tcBorders>
            <w:shd w:val="clear" w:color="auto" w:fill="F2F2F2" w:themeFill="background1" w:themeFillShade="F2"/>
          </w:tcPr>
          <w:p w14:paraId="31F490E6"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785ECD3C" w14:textId="77777777" w:rsidTr="00460075">
        <w:tc>
          <w:tcPr>
            <w:tcW w:w="2250" w:type="dxa"/>
          </w:tcPr>
          <w:p w14:paraId="375FC01B" w14:textId="77777777" w:rsidR="00287ADA" w:rsidRPr="00627DA0" w:rsidRDefault="00287ADA" w:rsidP="00460075">
            <w:pPr>
              <w:rPr>
                <w:rFonts w:cs="Calibri Light"/>
                <w:sz w:val="20"/>
                <w:szCs w:val="20"/>
              </w:rPr>
            </w:pPr>
          </w:p>
        </w:tc>
        <w:tc>
          <w:tcPr>
            <w:tcW w:w="3983" w:type="dxa"/>
            <w:vAlign w:val="bottom"/>
          </w:tcPr>
          <w:p w14:paraId="6F59AEA3" w14:textId="77777777" w:rsidR="00287ADA" w:rsidRPr="00627DA0" w:rsidRDefault="00287ADA" w:rsidP="00460075">
            <w:pPr>
              <w:rPr>
                <w:rFonts w:cs="Calibri Light"/>
                <w:sz w:val="20"/>
                <w:szCs w:val="20"/>
              </w:rPr>
            </w:pPr>
            <w:r w:rsidRPr="00627DA0">
              <w:rPr>
                <w:rFonts w:cs="Calibri Light"/>
                <w:color w:val="000000"/>
                <w:sz w:val="20"/>
                <w:szCs w:val="20"/>
              </w:rPr>
              <w:t>Desktop</w:t>
            </w:r>
          </w:p>
        </w:tc>
        <w:tc>
          <w:tcPr>
            <w:tcW w:w="3117" w:type="dxa"/>
          </w:tcPr>
          <w:p w14:paraId="5E8D9375"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54F1AA82" w14:textId="77777777" w:rsidTr="00460075">
        <w:tc>
          <w:tcPr>
            <w:tcW w:w="2250" w:type="dxa"/>
          </w:tcPr>
          <w:p w14:paraId="67F47FEA"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29DC1D6F" w14:textId="77777777" w:rsidR="00287ADA" w:rsidRPr="00627DA0" w:rsidRDefault="00287ADA" w:rsidP="00460075">
            <w:pPr>
              <w:rPr>
                <w:rFonts w:cs="Calibri Light"/>
                <w:sz w:val="20"/>
                <w:szCs w:val="20"/>
              </w:rPr>
            </w:pPr>
            <w:r w:rsidRPr="00627DA0">
              <w:rPr>
                <w:rFonts w:cs="Calibri Light"/>
                <w:color w:val="000000"/>
                <w:sz w:val="20"/>
                <w:szCs w:val="20"/>
              </w:rPr>
              <w:t>Laptop</w:t>
            </w:r>
          </w:p>
        </w:tc>
        <w:tc>
          <w:tcPr>
            <w:tcW w:w="3117" w:type="dxa"/>
            <w:shd w:val="clear" w:color="auto" w:fill="F2F2F2" w:themeFill="background1" w:themeFillShade="F2"/>
          </w:tcPr>
          <w:p w14:paraId="7C61F49A"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2F7622C5" w14:textId="77777777" w:rsidTr="00460075">
        <w:tc>
          <w:tcPr>
            <w:tcW w:w="2250" w:type="dxa"/>
          </w:tcPr>
          <w:p w14:paraId="56273316" w14:textId="77777777" w:rsidR="00287ADA" w:rsidRPr="00627DA0" w:rsidRDefault="00287ADA" w:rsidP="00460075">
            <w:pPr>
              <w:rPr>
                <w:rFonts w:cs="Calibri Light"/>
                <w:sz w:val="20"/>
                <w:szCs w:val="20"/>
              </w:rPr>
            </w:pPr>
          </w:p>
        </w:tc>
        <w:tc>
          <w:tcPr>
            <w:tcW w:w="3983" w:type="dxa"/>
            <w:vAlign w:val="bottom"/>
          </w:tcPr>
          <w:p w14:paraId="38DFC87B" w14:textId="77777777" w:rsidR="00287ADA" w:rsidRPr="00627DA0" w:rsidRDefault="00287ADA" w:rsidP="00460075">
            <w:pPr>
              <w:rPr>
                <w:rFonts w:cs="Calibri Light"/>
                <w:sz w:val="20"/>
                <w:szCs w:val="20"/>
              </w:rPr>
            </w:pPr>
            <w:r w:rsidRPr="00627DA0">
              <w:rPr>
                <w:rFonts w:cs="Calibri Light"/>
                <w:color w:val="000000"/>
                <w:sz w:val="20"/>
                <w:szCs w:val="20"/>
              </w:rPr>
              <w:t>Monitor</w:t>
            </w:r>
          </w:p>
        </w:tc>
        <w:tc>
          <w:tcPr>
            <w:tcW w:w="3117" w:type="dxa"/>
          </w:tcPr>
          <w:p w14:paraId="7C1AE953"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6C429272" w14:textId="77777777" w:rsidTr="00460075">
        <w:tc>
          <w:tcPr>
            <w:tcW w:w="2250" w:type="dxa"/>
            <w:tcBorders>
              <w:bottom w:val="single" w:sz="4" w:space="0" w:color="auto"/>
            </w:tcBorders>
          </w:tcPr>
          <w:p w14:paraId="62209EBB" w14:textId="77777777" w:rsidR="00287ADA" w:rsidRPr="00627DA0" w:rsidRDefault="00287ADA" w:rsidP="00460075">
            <w:pPr>
              <w:rPr>
                <w:rFonts w:cs="Calibri Light"/>
                <w:sz w:val="20"/>
                <w:szCs w:val="20"/>
              </w:rPr>
            </w:pPr>
          </w:p>
        </w:tc>
        <w:tc>
          <w:tcPr>
            <w:tcW w:w="3983" w:type="dxa"/>
            <w:tcBorders>
              <w:bottom w:val="single" w:sz="4" w:space="0" w:color="auto"/>
            </w:tcBorders>
            <w:shd w:val="clear" w:color="auto" w:fill="F2F2F2" w:themeFill="background1" w:themeFillShade="F2"/>
            <w:vAlign w:val="bottom"/>
          </w:tcPr>
          <w:p w14:paraId="18764A7F" w14:textId="77777777" w:rsidR="00287ADA" w:rsidRPr="00627DA0" w:rsidRDefault="00287ADA" w:rsidP="00460075">
            <w:pPr>
              <w:rPr>
                <w:rFonts w:cs="Calibri Light"/>
                <w:sz w:val="20"/>
                <w:szCs w:val="20"/>
              </w:rPr>
            </w:pPr>
            <w:r w:rsidRPr="00627DA0">
              <w:rPr>
                <w:rFonts w:cs="Calibri Light"/>
                <w:color w:val="000000"/>
                <w:sz w:val="20"/>
                <w:szCs w:val="20"/>
              </w:rPr>
              <w:t>TV</w:t>
            </w:r>
          </w:p>
        </w:tc>
        <w:tc>
          <w:tcPr>
            <w:tcW w:w="3117" w:type="dxa"/>
            <w:tcBorders>
              <w:bottom w:val="single" w:sz="4" w:space="0" w:color="auto"/>
            </w:tcBorders>
            <w:shd w:val="clear" w:color="auto" w:fill="F2F2F2" w:themeFill="background1" w:themeFillShade="F2"/>
          </w:tcPr>
          <w:p w14:paraId="0D14A675"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68506C5A" w14:textId="77777777" w:rsidTr="00460075">
        <w:tc>
          <w:tcPr>
            <w:tcW w:w="2250" w:type="dxa"/>
            <w:tcBorders>
              <w:top w:val="single" w:sz="4" w:space="0" w:color="auto"/>
              <w:bottom w:val="single" w:sz="4" w:space="0" w:color="auto"/>
            </w:tcBorders>
            <w:vAlign w:val="bottom"/>
          </w:tcPr>
          <w:p w14:paraId="50F9053E" w14:textId="77777777" w:rsidR="00287ADA" w:rsidRPr="00627DA0" w:rsidRDefault="00287ADA" w:rsidP="00460075">
            <w:pPr>
              <w:rPr>
                <w:rFonts w:cs="Calibri Light"/>
                <w:sz w:val="20"/>
                <w:szCs w:val="20"/>
              </w:rPr>
            </w:pPr>
            <w:r w:rsidRPr="00627DA0">
              <w:rPr>
                <w:rFonts w:cs="Calibri Light"/>
                <w:color w:val="000000"/>
                <w:sz w:val="20"/>
                <w:szCs w:val="20"/>
              </w:rPr>
              <w:t>EVSE</w:t>
            </w:r>
          </w:p>
        </w:tc>
        <w:tc>
          <w:tcPr>
            <w:tcW w:w="3983" w:type="dxa"/>
            <w:tcBorders>
              <w:top w:val="single" w:sz="4" w:space="0" w:color="auto"/>
              <w:bottom w:val="single" w:sz="4" w:space="0" w:color="auto"/>
            </w:tcBorders>
            <w:vAlign w:val="bottom"/>
          </w:tcPr>
          <w:p w14:paraId="7C4AEFAA" w14:textId="77777777" w:rsidR="00287ADA" w:rsidRPr="00627DA0" w:rsidRDefault="00287ADA" w:rsidP="00460075">
            <w:pPr>
              <w:rPr>
                <w:rFonts w:cs="Calibri Light"/>
                <w:sz w:val="20"/>
                <w:szCs w:val="20"/>
              </w:rPr>
            </w:pPr>
            <w:r w:rsidRPr="00627DA0">
              <w:rPr>
                <w:rFonts w:cs="Calibri Light"/>
                <w:color w:val="000000"/>
                <w:sz w:val="20"/>
                <w:szCs w:val="20"/>
              </w:rPr>
              <w:t>EVSE</w:t>
            </w:r>
          </w:p>
        </w:tc>
        <w:tc>
          <w:tcPr>
            <w:tcW w:w="3117" w:type="dxa"/>
            <w:tcBorders>
              <w:top w:val="single" w:sz="4" w:space="0" w:color="auto"/>
              <w:bottom w:val="single" w:sz="4" w:space="0" w:color="auto"/>
            </w:tcBorders>
          </w:tcPr>
          <w:p w14:paraId="61D94C49"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4EED1132" w14:textId="77777777" w:rsidTr="00460075">
        <w:tc>
          <w:tcPr>
            <w:tcW w:w="2250" w:type="dxa"/>
            <w:tcBorders>
              <w:top w:val="single" w:sz="4" w:space="0" w:color="auto"/>
            </w:tcBorders>
            <w:vAlign w:val="bottom"/>
          </w:tcPr>
          <w:p w14:paraId="70599EBF" w14:textId="77777777" w:rsidR="00287ADA" w:rsidRPr="00627DA0" w:rsidRDefault="00287ADA" w:rsidP="00460075">
            <w:pPr>
              <w:rPr>
                <w:rFonts w:cs="Calibri Light"/>
                <w:sz w:val="20"/>
                <w:szCs w:val="20"/>
              </w:rPr>
            </w:pPr>
            <w:r w:rsidRPr="00627DA0">
              <w:rPr>
                <w:rFonts w:cs="Calibri Light"/>
                <w:color w:val="000000"/>
                <w:sz w:val="20"/>
                <w:szCs w:val="20"/>
              </w:rPr>
              <w:t>HVAC</w:t>
            </w:r>
          </w:p>
        </w:tc>
        <w:tc>
          <w:tcPr>
            <w:tcW w:w="3983" w:type="dxa"/>
            <w:tcBorders>
              <w:top w:val="single" w:sz="4" w:space="0" w:color="auto"/>
            </w:tcBorders>
            <w:shd w:val="clear" w:color="auto" w:fill="F2F2F2" w:themeFill="background1" w:themeFillShade="F2"/>
            <w:vAlign w:val="bottom"/>
          </w:tcPr>
          <w:p w14:paraId="392BEE5D" w14:textId="77777777" w:rsidR="00287ADA" w:rsidRPr="00627DA0" w:rsidRDefault="00287ADA" w:rsidP="00460075">
            <w:pPr>
              <w:rPr>
                <w:rFonts w:cs="Calibri Light"/>
                <w:sz w:val="20"/>
                <w:szCs w:val="20"/>
              </w:rPr>
            </w:pPr>
            <w:r w:rsidRPr="00627DA0">
              <w:rPr>
                <w:rFonts w:cs="Calibri Light"/>
                <w:color w:val="000000"/>
                <w:sz w:val="20"/>
                <w:szCs w:val="20"/>
              </w:rPr>
              <w:t>Air Source Heat Pump</w:t>
            </w:r>
          </w:p>
        </w:tc>
        <w:tc>
          <w:tcPr>
            <w:tcW w:w="3117" w:type="dxa"/>
            <w:tcBorders>
              <w:top w:val="single" w:sz="4" w:space="0" w:color="auto"/>
            </w:tcBorders>
            <w:shd w:val="clear" w:color="auto" w:fill="F2F2F2" w:themeFill="background1" w:themeFillShade="F2"/>
          </w:tcPr>
          <w:p w14:paraId="65642BB1" w14:textId="390DB0A3" w:rsidR="00287ADA" w:rsidRPr="00627DA0" w:rsidRDefault="00287ADA" w:rsidP="00460075">
            <w:pPr>
              <w:rPr>
                <w:rFonts w:cs="Calibri Light"/>
                <w:sz w:val="20"/>
                <w:szCs w:val="20"/>
              </w:rPr>
            </w:pPr>
            <w:r w:rsidRPr="00627DA0">
              <w:rPr>
                <w:rFonts w:cs="Calibri Light"/>
                <w:sz w:val="20"/>
                <w:szCs w:val="20"/>
              </w:rPr>
              <w:t>2021 Power Plan</w:t>
            </w:r>
            <w:r w:rsidR="00836A55" w:rsidRPr="00627DA0">
              <w:rPr>
                <w:rFonts w:cs="Calibri Light"/>
                <w:sz w:val="20"/>
                <w:szCs w:val="20"/>
              </w:rPr>
              <w:t>, RTF</w:t>
            </w:r>
          </w:p>
        </w:tc>
      </w:tr>
      <w:tr w:rsidR="00287ADA" w:rsidRPr="00627DA0" w14:paraId="7E6896C1" w14:textId="77777777" w:rsidTr="00460075">
        <w:tc>
          <w:tcPr>
            <w:tcW w:w="2250" w:type="dxa"/>
            <w:vAlign w:val="bottom"/>
          </w:tcPr>
          <w:p w14:paraId="77B99A94" w14:textId="77777777" w:rsidR="00287ADA" w:rsidRPr="00627DA0" w:rsidRDefault="00287ADA" w:rsidP="00460075">
            <w:pPr>
              <w:rPr>
                <w:rFonts w:cs="Calibri Light"/>
                <w:sz w:val="20"/>
                <w:szCs w:val="20"/>
              </w:rPr>
            </w:pPr>
          </w:p>
        </w:tc>
        <w:tc>
          <w:tcPr>
            <w:tcW w:w="3983" w:type="dxa"/>
            <w:vAlign w:val="bottom"/>
          </w:tcPr>
          <w:p w14:paraId="266C23CB" w14:textId="77777777" w:rsidR="00287ADA" w:rsidRPr="00627DA0" w:rsidRDefault="00287ADA" w:rsidP="00460075">
            <w:pPr>
              <w:rPr>
                <w:rFonts w:cs="Calibri Light"/>
                <w:sz w:val="20"/>
                <w:szCs w:val="20"/>
              </w:rPr>
            </w:pPr>
            <w:r w:rsidRPr="00627DA0">
              <w:rPr>
                <w:rFonts w:cs="Calibri Light"/>
                <w:color w:val="000000"/>
                <w:sz w:val="20"/>
                <w:szCs w:val="20"/>
              </w:rPr>
              <w:t>Central Air Conditioner</w:t>
            </w:r>
          </w:p>
        </w:tc>
        <w:tc>
          <w:tcPr>
            <w:tcW w:w="3117" w:type="dxa"/>
          </w:tcPr>
          <w:p w14:paraId="1DA5D852" w14:textId="0BD8A625" w:rsidR="00287ADA" w:rsidRPr="00627DA0" w:rsidRDefault="00287ADA" w:rsidP="00460075">
            <w:pPr>
              <w:rPr>
                <w:rFonts w:cs="Calibri Light"/>
                <w:sz w:val="20"/>
                <w:szCs w:val="20"/>
              </w:rPr>
            </w:pPr>
            <w:r w:rsidRPr="00627DA0">
              <w:rPr>
                <w:rFonts w:cs="Calibri Light"/>
                <w:sz w:val="20"/>
                <w:szCs w:val="20"/>
              </w:rPr>
              <w:t>2021 Power Plan</w:t>
            </w:r>
            <w:r w:rsidR="00836A55" w:rsidRPr="00627DA0">
              <w:rPr>
                <w:rFonts w:cs="Calibri Light"/>
                <w:sz w:val="20"/>
                <w:szCs w:val="20"/>
              </w:rPr>
              <w:t>, RTF</w:t>
            </w:r>
          </w:p>
        </w:tc>
      </w:tr>
      <w:tr w:rsidR="00287ADA" w:rsidRPr="00627DA0" w14:paraId="0668DF0D" w14:textId="77777777" w:rsidTr="00460075">
        <w:tc>
          <w:tcPr>
            <w:tcW w:w="2250" w:type="dxa"/>
            <w:vAlign w:val="bottom"/>
          </w:tcPr>
          <w:p w14:paraId="0D6C6992"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131AB878" w14:textId="77777777" w:rsidR="00287ADA" w:rsidRPr="00627DA0" w:rsidRDefault="00287ADA" w:rsidP="00460075">
            <w:pPr>
              <w:rPr>
                <w:rFonts w:cs="Calibri Light"/>
                <w:sz w:val="20"/>
                <w:szCs w:val="20"/>
              </w:rPr>
            </w:pPr>
            <w:r w:rsidRPr="00627DA0">
              <w:rPr>
                <w:rFonts w:cs="Calibri Light"/>
                <w:color w:val="000000"/>
                <w:sz w:val="20"/>
                <w:szCs w:val="20"/>
              </w:rPr>
              <w:t>Cellular Shades</w:t>
            </w:r>
          </w:p>
        </w:tc>
        <w:tc>
          <w:tcPr>
            <w:tcW w:w="3117" w:type="dxa"/>
            <w:shd w:val="clear" w:color="auto" w:fill="F2F2F2" w:themeFill="background1" w:themeFillShade="F2"/>
          </w:tcPr>
          <w:p w14:paraId="03239071"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47442191" w14:textId="77777777" w:rsidTr="00460075">
        <w:tc>
          <w:tcPr>
            <w:tcW w:w="2250" w:type="dxa"/>
            <w:vAlign w:val="bottom"/>
          </w:tcPr>
          <w:p w14:paraId="00419859" w14:textId="77777777" w:rsidR="00287ADA" w:rsidRPr="00627DA0" w:rsidRDefault="00287ADA" w:rsidP="00460075">
            <w:pPr>
              <w:rPr>
                <w:rFonts w:cs="Calibri Light"/>
                <w:sz w:val="20"/>
                <w:szCs w:val="20"/>
              </w:rPr>
            </w:pPr>
          </w:p>
        </w:tc>
        <w:tc>
          <w:tcPr>
            <w:tcW w:w="3983" w:type="dxa"/>
            <w:vAlign w:val="bottom"/>
          </w:tcPr>
          <w:p w14:paraId="6F7E2F4A" w14:textId="77777777" w:rsidR="00287ADA" w:rsidRPr="00627DA0" w:rsidRDefault="00287ADA" w:rsidP="00460075">
            <w:pPr>
              <w:rPr>
                <w:rFonts w:cs="Calibri Light"/>
                <w:sz w:val="20"/>
                <w:szCs w:val="20"/>
              </w:rPr>
            </w:pPr>
            <w:r w:rsidRPr="00627DA0">
              <w:rPr>
                <w:rFonts w:cs="Calibri Light"/>
                <w:color w:val="000000"/>
                <w:sz w:val="20"/>
                <w:szCs w:val="20"/>
              </w:rPr>
              <w:t>Circulator</w:t>
            </w:r>
          </w:p>
        </w:tc>
        <w:tc>
          <w:tcPr>
            <w:tcW w:w="3117" w:type="dxa"/>
          </w:tcPr>
          <w:p w14:paraId="56E917D5"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12384936" w14:textId="77777777" w:rsidTr="00460075">
        <w:tc>
          <w:tcPr>
            <w:tcW w:w="2250" w:type="dxa"/>
            <w:vAlign w:val="bottom"/>
          </w:tcPr>
          <w:p w14:paraId="1BC893B1"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78D6A2DF" w14:textId="77777777" w:rsidR="00287ADA" w:rsidRPr="00627DA0" w:rsidRDefault="00287ADA" w:rsidP="00460075">
            <w:pPr>
              <w:rPr>
                <w:rFonts w:cs="Calibri Light"/>
                <w:sz w:val="20"/>
                <w:szCs w:val="20"/>
              </w:rPr>
            </w:pPr>
            <w:r w:rsidRPr="00627DA0">
              <w:rPr>
                <w:rFonts w:cs="Calibri Light"/>
                <w:color w:val="000000"/>
                <w:sz w:val="20"/>
                <w:szCs w:val="20"/>
              </w:rPr>
              <w:t>Circulator Controls</w:t>
            </w:r>
          </w:p>
        </w:tc>
        <w:tc>
          <w:tcPr>
            <w:tcW w:w="3117" w:type="dxa"/>
            <w:shd w:val="clear" w:color="auto" w:fill="F2F2F2" w:themeFill="background1" w:themeFillShade="F2"/>
          </w:tcPr>
          <w:p w14:paraId="5D334058"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7A541EBD" w14:textId="77777777" w:rsidTr="00460075">
        <w:tc>
          <w:tcPr>
            <w:tcW w:w="2250" w:type="dxa"/>
            <w:vAlign w:val="bottom"/>
          </w:tcPr>
          <w:p w14:paraId="145D5CE9" w14:textId="77777777" w:rsidR="00287ADA" w:rsidRPr="00627DA0" w:rsidRDefault="00287ADA" w:rsidP="00460075">
            <w:pPr>
              <w:rPr>
                <w:rFonts w:cs="Calibri Light"/>
                <w:sz w:val="20"/>
                <w:szCs w:val="20"/>
              </w:rPr>
            </w:pPr>
          </w:p>
        </w:tc>
        <w:tc>
          <w:tcPr>
            <w:tcW w:w="3983" w:type="dxa"/>
            <w:vAlign w:val="bottom"/>
          </w:tcPr>
          <w:p w14:paraId="5CC20446" w14:textId="77777777" w:rsidR="00287ADA" w:rsidRPr="00627DA0" w:rsidRDefault="00287ADA" w:rsidP="00460075">
            <w:pPr>
              <w:rPr>
                <w:rFonts w:cs="Calibri Light"/>
                <w:sz w:val="20"/>
                <w:szCs w:val="20"/>
              </w:rPr>
            </w:pPr>
            <w:r w:rsidRPr="00627DA0">
              <w:rPr>
                <w:rFonts w:cs="Calibri Light"/>
                <w:color w:val="000000"/>
                <w:sz w:val="20"/>
                <w:szCs w:val="20"/>
              </w:rPr>
              <w:t>Ductless Heat Pump</w:t>
            </w:r>
          </w:p>
        </w:tc>
        <w:tc>
          <w:tcPr>
            <w:tcW w:w="3117" w:type="dxa"/>
          </w:tcPr>
          <w:p w14:paraId="1A2AE306"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35547D02" w14:textId="77777777" w:rsidTr="00460075">
        <w:tc>
          <w:tcPr>
            <w:tcW w:w="2250" w:type="dxa"/>
            <w:vAlign w:val="bottom"/>
          </w:tcPr>
          <w:p w14:paraId="082C3665"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232F6C60" w14:textId="77777777" w:rsidR="00287ADA" w:rsidRPr="00627DA0" w:rsidRDefault="00287ADA" w:rsidP="00460075">
            <w:pPr>
              <w:rPr>
                <w:rFonts w:cs="Calibri Light"/>
                <w:sz w:val="20"/>
                <w:szCs w:val="20"/>
              </w:rPr>
            </w:pPr>
            <w:r w:rsidRPr="00627DA0">
              <w:rPr>
                <w:rFonts w:cs="Calibri Light"/>
                <w:color w:val="000000"/>
                <w:sz w:val="20"/>
                <w:szCs w:val="20"/>
              </w:rPr>
              <w:t>Duct Sealing</w:t>
            </w:r>
          </w:p>
        </w:tc>
        <w:tc>
          <w:tcPr>
            <w:tcW w:w="3117" w:type="dxa"/>
            <w:shd w:val="clear" w:color="auto" w:fill="F2F2F2" w:themeFill="background1" w:themeFillShade="F2"/>
          </w:tcPr>
          <w:p w14:paraId="6D5D74BE"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4B0D9095" w14:textId="77777777" w:rsidTr="00460075">
        <w:tc>
          <w:tcPr>
            <w:tcW w:w="2250" w:type="dxa"/>
            <w:vAlign w:val="bottom"/>
          </w:tcPr>
          <w:p w14:paraId="054C836E" w14:textId="77777777" w:rsidR="00287ADA" w:rsidRPr="00627DA0" w:rsidRDefault="00287ADA" w:rsidP="00460075">
            <w:pPr>
              <w:rPr>
                <w:rFonts w:cs="Calibri Light"/>
                <w:sz w:val="20"/>
                <w:szCs w:val="20"/>
              </w:rPr>
            </w:pPr>
          </w:p>
        </w:tc>
        <w:tc>
          <w:tcPr>
            <w:tcW w:w="3983" w:type="dxa"/>
            <w:vAlign w:val="bottom"/>
          </w:tcPr>
          <w:p w14:paraId="635AD44C" w14:textId="77777777" w:rsidR="00287ADA" w:rsidRPr="00627DA0" w:rsidRDefault="00287ADA" w:rsidP="00460075">
            <w:pPr>
              <w:rPr>
                <w:rFonts w:cs="Calibri Light"/>
                <w:sz w:val="20"/>
                <w:szCs w:val="20"/>
              </w:rPr>
            </w:pPr>
            <w:r w:rsidRPr="00627DA0">
              <w:rPr>
                <w:rFonts w:cs="Calibri Light"/>
                <w:color w:val="000000"/>
                <w:sz w:val="20"/>
                <w:szCs w:val="20"/>
              </w:rPr>
              <w:t>Ground Source Heat Pump</w:t>
            </w:r>
          </w:p>
        </w:tc>
        <w:tc>
          <w:tcPr>
            <w:tcW w:w="3117" w:type="dxa"/>
          </w:tcPr>
          <w:p w14:paraId="2E8F506F"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6B1A45C1" w14:textId="77777777" w:rsidTr="00460075">
        <w:tc>
          <w:tcPr>
            <w:tcW w:w="2250" w:type="dxa"/>
            <w:vAlign w:val="bottom"/>
          </w:tcPr>
          <w:p w14:paraId="6270914C"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13830367" w14:textId="77777777" w:rsidR="00287ADA" w:rsidRPr="00627DA0" w:rsidRDefault="00287ADA" w:rsidP="00460075">
            <w:pPr>
              <w:rPr>
                <w:rFonts w:cs="Calibri Light"/>
                <w:sz w:val="20"/>
                <w:szCs w:val="20"/>
              </w:rPr>
            </w:pPr>
            <w:r w:rsidRPr="00627DA0">
              <w:rPr>
                <w:rFonts w:cs="Calibri Light"/>
                <w:color w:val="000000"/>
                <w:sz w:val="20"/>
                <w:szCs w:val="20"/>
              </w:rPr>
              <w:t>Heat Recovery Ventilator</w:t>
            </w:r>
          </w:p>
        </w:tc>
        <w:tc>
          <w:tcPr>
            <w:tcW w:w="3117" w:type="dxa"/>
            <w:shd w:val="clear" w:color="auto" w:fill="F2F2F2" w:themeFill="background1" w:themeFillShade="F2"/>
          </w:tcPr>
          <w:p w14:paraId="24264463"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6C1CBACC" w14:textId="77777777" w:rsidTr="00460075">
        <w:tc>
          <w:tcPr>
            <w:tcW w:w="2250" w:type="dxa"/>
            <w:vAlign w:val="bottom"/>
          </w:tcPr>
          <w:p w14:paraId="69F2FB5D" w14:textId="77777777" w:rsidR="00287ADA" w:rsidRPr="00627DA0" w:rsidRDefault="00287ADA" w:rsidP="00460075">
            <w:pPr>
              <w:rPr>
                <w:rFonts w:cs="Calibri Light"/>
                <w:sz w:val="20"/>
                <w:szCs w:val="20"/>
              </w:rPr>
            </w:pPr>
          </w:p>
        </w:tc>
        <w:tc>
          <w:tcPr>
            <w:tcW w:w="3983" w:type="dxa"/>
            <w:vAlign w:val="bottom"/>
          </w:tcPr>
          <w:p w14:paraId="29A22189" w14:textId="77777777" w:rsidR="00287ADA" w:rsidRPr="00627DA0" w:rsidRDefault="00287ADA" w:rsidP="00460075">
            <w:pPr>
              <w:rPr>
                <w:rFonts w:cs="Calibri Light"/>
                <w:sz w:val="20"/>
                <w:szCs w:val="20"/>
              </w:rPr>
            </w:pPr>
            <w:r w:rsidRPr="00627DA0">
              <w:rPr>
                <w:rFonts w:cs="Calibri Light"/>
                <w:color w:val="000000"/>
                <w:sz w:val="20"/>
                <w:szCs w:val="20"/>
              </w:rPr>
              <w:t>Room Air Conditioner</w:t>
            </w:r>
          </w:p>
        </w:tc>
        <w:tc>
          <w:tcPr>
            <w:tcW w:w="3117" w:type="dxa"/>
          </w:tcPr>
          <w:p w14:paraId="4BED5D2F"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6094F7FC" w14:textId="77777777" w:rsidTr="00460075">
        <w:tc>
          <w:tcPr>
            <w:tcW w:w="2250" w:type="dxa"/>
            <w:vAlign w:val="bottom"/>
          </w:tcPr>
          <w:p w14:paraId="25372570"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4FA400F2" w14:textId="77777777" w:rsidR="00287ADA" w:rsidRPr="00627DA0" w:rsidRDefault="00287ADA" w:rsidP="00460075">
            <w:pPr>
              <w:rPr>
                <w:rFonts w:cs="Calibri Light"/>
                <w:sz w:val="20"/>
                <w:szCs w:val="20"/>
              </w:rPr>
            </w:pPr>
            <w:r w:rsidRPr="00627DA0">
              <w:rPr>
                <w:rFonts w:cs="Calibri Light"/>
                <w:color w:val="000000"/>
                <w:sz w:val="20"/>
                <w:szCs w:val="20"/>
              </w:rPr>
              <w:t>Smart Thermostats</w:t>
            </w:r>
          </w:p>
        </w:tc>
        <w:tc>
          <w:tcPr>
            <w:tcW w:w="3117" w:type="dxa"/>
            <w:shd w:val="clear" w:color="auto" w:fill="F2F2F2" w:themeFill="background1" w:themeFillShade="F2"/>
          </w:tcPr>
          <w:p w14:paraId="61C513C9"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3FBF7A20" w14:textId="77777777" w:rsidTr="00460075">
        <w:tc>
          <w:tcPr>
            <w:tcW w:w="2250" w:type="dxa"/>
            <w:vAlign w:val="bottom"/>
          </w:tcPr>
          <w:p w14:paraId="4DFA62F3" w14:textId="77777777" w:rsidR="00287ADA" w:rsidRPr="00627DA0" w:rsidRDefault="00287ADA" w:rsidP="00460075">
            <w:pPr>
              <w:rPr>
                <w:rFonts w:cs="Calibri Light"/>
                <w:sz w:val="20"/>
                <w:szCs w:val="20"/>
              </w:rPr>
            </w:pPr>
          </w:p>
        </w:tc>
        <w:tc>
          <w:tcPr>
            <w:tcW w:w="3983" w:type="dxa"/>
            <w:vAlign w:val="bottom"/>
          </w:tcPr>
          <w:p w14:paraId="19B2ED68" w14:textId="77777777" w:rsidR="00287ADA" w:rsidRPr="00627DA0" w:rsidRDefault="00287ADA" w:rsidP="00460075">
            <w:pPr>
              <w:rPr>
                <w:rFonts w:cs="Calibri Light"/>
                <w:sz w:val="20"/>
                <w:szCs w:val="20"/>
              </w:rPr>
            </w:pPr>
            <w:r w:rsidRPr="00627DA0">
              <w:rPr>
                <w:rFonts w:cs="Calibri Light"/>
                <w:color w:val="000000"/>
                <w:sz w:val="20"/>
                <w:szCs w:val="20"/>
              </w:rPr>
              <w:t>Weatherization</w:t>
            </w:r>
          </w:p>
        </w:tc>
        <w:tc>
          <w:tcPr>
            <w:tcW w:w="3117" w:type="dxa"/>
          </w:tcPr>
          <w:p w14:paraId="004A5C31"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19B1A3D8" w14:textId="77777777" w:rsidTr="00460075">
        <w:tc>
          <w:tcPr>
            <w:tcW w:w="2250" w:type="dxa"/>
            <w:tcBorders>
              <w:bottom w:val="single" w:sz="4" w:space="0" w:color="auto"/>
            </w:tcBorders>
            <w:vAlign w:val="bottom"/>
          </w:tcPr>
          <w:p w14:paraId="2FBCEB8E" w14:textId="77777777" w:rsidR="00287ADA" w:rsidRPr="00627DA0" w:rsidRDefault="00287ADA" w:rsidP="00460075">
            <w:pPr>
              <w:rPr>
                <w:rFonts w:cs="Calibri Light"/>
                <w:sz w:val="20"/>
                <w:szCs w:val="20"/>
              </w:rPr>
            </w:pPr>
          </w:p>
        </w:tc>
        <w:tc>
          <w:tcPr>
            <w:tcW w:w="3983" w:type="dxa"/>
            <w:tcBorders>
              <w:bottom w:val="single" w:sz="4" w:space="0" w:color="auto"/>
            </w:tcBorders>
            <w:shd w:val="clear" w:color="auto" w:fill="F2F2F2" w:themeFill="background1" w:themeFillShade="F2"/>
            <w:vAlign w:val="bottom"/>
          </w:tcPr>
          <w:p w14:paraId="7DA564D9" w14:textId="77777777" w:rsidR="00287ADA" w:rsidRPr="00627DA0" w:rsidRDefault="00287ADA" w:rsidP="00460075">
            <w:pPr>
              <w:rPr>
                <w:rFonts w:cs="Calibri Light"/>
                <w:sz w:val="20"/>
                <w:szCs w:val="20"/>
              </w:rPr>
            </w:pPr>
            <w:r w:rsidRPr="00627DA0">
              <w:rPr>
                <w:rFonts w:cs="Calibri Light"/>
                <w:color w:val="000000"/>
                <w:sz w:val="20"/>
                <w:szCs w:val="20"/>
              </w:rPr>
              <w:t>Whole House Fan</w:t>
            </w:r>
          </w:p>
        </w:tc>
        <w:tc>
          <w:tcPr>
            <w:tcW w:w="3117" w:type="dxa"/>
            <w:tcBorders>
              <w:bottom w:val="single" w:sz="4" w:space="0" w:color="auto"/>
            </w:tcBorders>
            <w:shd w:val="clear" w:color="auto" w:fill="F2F2F2" w:themeFill="background1" w:themeFillShade="F2"/>
          </w:tcPr>
          <w:p w14:paraId="4D1AD6DC"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1D6398CA" w14:textId="77777777" w:rsidTr="00460075">
        <w:tc>
          <w:tcPr>
            <w:tcW w:w="2250" w:type="dxa"/>
            <w:tcBorders>
              <w:top w:val="single" w:sz="4" w:space="0" w:color="auto"/>
            </w:tcBorders>
            <w:vAlign w:val="bottom"/>
          </w:tcPr>
          <w:p w14:paraId="4EE75ADA" w14:textId="77777777" w:rsidR="00287ADA" w:rsidRPr="00627DA0" w:rsidRDefault="00287ADA" w:rsidP="00460075">
            <w:pPr>
              <w:rPr>
                <w:rFonts w:cs="Calibri Light"/>
                <w:sz w:val="20"/>
                <w:szCs w:val="20"/>
              </w:rPr>
            </w:pPr>
            <w:r w:rsidRPr="00627DA0">
              <w:rPr>
                <w:rFonts w:cs="Calibri Light"/>
                <w:color w:val="000000"/>
                <w:sz w:val="20"/>
                <w:szCs w:val="20"/>
              </w:rPr>
              <w:t>Lighting</w:t>
            </w:r>
          </w:p>
        </w:tc>
        <w:tc>
          <w:tcPr>
            <w:tcW w:w="3983" w:type="dxa"/>
            <w:tcBorders>
              <w:top w:val="single" w:sz="4" w:space="0" w:color="auto"/>
            </w:tcBorders>
            <w:vAlign w:val="bottom"/>
          </w:tcPr>
          <w:p w14:paraId="1C953EAE" w14:textId="77777777" w:rsidR="00287ADA" w:rsidRPr="00627DA0" w:rsidRDefault="00287ADA" w:rsidP="00460075">
            <w:pPr>
              <w:rPr>
                <w:rFonts w:cs="Calibri Light"/>
                <w:sz w:val="20"/>
                <w:szCs w:val="20"/>
              </w:rPr>
            </w:pPr>
            <w:r w:rsidRPr="00627DA0">
              <w:rPr>
                <w:rFonts w:cs="Calibri Light"/>
                <w:color w:val="000000"/>
                <w:sz w:val="20"/>
                <w:szCs w:val="20"/>
              </w:rPr>
              <w:t>Fixtures</w:t>
            </w:r>
          </w:p>
        </w:tc>
        <w:tc>
          <w:tcPr>
            <w:tcW w:w="3117" w:type="dxa"/>
            <w:tcBorders>
              <w:top w:val="single" w:sz="4" w:space="0" w:color="auto"/>
            </w:tcBorders>
          </w:tcPr>
          <w:p w14:paraId="249258C1"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010E47E2" w14:textId="77777777" w:rsidTr="00460075">
        <w:tc>
          <w:tcPr>
            <w:tcW w:w="2250" w:type="dxa"/>
            <w:vAlign w:val="bottom"/>
          </w:tcPr>
          <w:p w14:paraId="10E94B76"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6100ABAE" w14:textId="77777777" w:rsidR="00287ADA" w:rsidRPr="00627DA0" w:rsidRDefault="00287ADA" w:rsidP="00460075">
            <w:pPr>
              <w:rPr>
                <w:rFonts w:cs="Calibri Light"/>
                <w:sz w:val="20"/>
                <w:szCs w:val="20"/>
              </w:rPr>
            </w:pPr>
            <w:r w:rsidRPr="00627DA0">
              <w:rPr>
                <w:rFonts w:cs="Calibri Light"/>
                <w:color w:val="000000"/>
                <w:sz w:val="20"/>
                <w:szCs w:val="20"/>
              </w:rPr>
              <w:t>Lamps</w:t>
            </w:r>
          </w:p>
        </w:tc>
        <w:tc>
          <w:tcPr>
            <w:tcW w:w="3117" w:type="dxa"/>
            <w:shd w:val="clear" w:color="auto" w:fill="F2F2F2" w:themeFill="background1" w:themeFillShade="F2"/>
          </w:tcPr>
          <w:p w14:paraId="71C72CCA"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78E76B8A" w14:textId="77777777" w:rsidTr="00460075">
        <w:tc>
          <w:tcPr>
            <w:tcW w:w="2250" w:type="dxa"/>
            <w:tcBorders>
              <w:bottom w:val="single" w:sz="4" w:space="0" w:color="auto"/>
            </w:tcBorders>
            <w:vAlign w:val="bottom"/>
          </w:tcPr>
          <w:p w14:paraId="1BE85E61" w14:textId="77777777" w:rsidR="00287ADA" w:rsidRPr="00627DA0" w:rsidRDefault="00287ADA" w:rsidP="00460075">
            <w:pPr>
              <w:rPr>
                <w:rFonts w:cs="Calibri Light"/>
                <w:sz w:val="20"/>
                <w:szCs w:val="20"/>
              </w:rPr>
            </w:pPr>
          </w:p>
        </w:tc>
        <w:tc>
          <w:tcPr>
            <w:tcW w:w="3983" w:type="dxa"/>
            <w:tcBorders>
              <w:bottom w:val="single" w:sz="4" w:space="0" w:color="auto"/>
            </w:tcBorders>
            <w:vAlign w:val="bottom"/>
          </w:tcPr>
          <w:p w14:paraId="3C796856" w14:textId="77777777" w:rsidR="00287ADA" w:rsidRPr="00627DA0" w:rsidRDefault="00287ADA" w:rsidP="00460075">
            <w:pPr>
              <w:rPr>
                <w:rFonts w:cs="Calibri Light"/>
                <w:sz w:val="20"/>
                <w:szCs w:val="20"/>
              </w:rPr>
            </w:pPr>
            <w:r w:rsidRPr="00627DA0">
              <w:rPr>
                <w:rFonts w:cs="Calibri Light"/>
                <w:color w:val="000000"/>
                <w:sz w:val="20"/>
                <w:szCs w:val="20"/>
              </w:rPr>
              <w:t>Pin Lamps</w:t>
            </w:r>
          </w:p>
        </w:tc>
        <w:tc>
          <w:tcPr>
            <w:tcW w:w="3117" w:type="dxa"/>
            <w:tcBorders>
              <w:bottom w:val="single" w:sz="4" w:space="0" w:color="auto"/>
            </w:tcBorders>
          </w:tcPr>
          <w:p w14:paraId="18A479F5"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3AF19B6A" w14:textId="77777777" w:rsidTr="00460075">
        <w:tc>
          <w:tcPr>
            <w:tcW w:w="2250" w:type="dxa"/>
            <w:tcBorders>
              <w:top w:val="single" w:sz="4" w:space="0" w:color="auto"/>
              <w:bottom w:val="single" w:sz="4" w:space="0" w:color="auto"/>
            </w:tcBorders>
            <w:vAlign w:val="bottom"/>
          </w:tcPr>
          <w:p w14:paraId="61158E88" w14:textId="77777777" w:rsidR="00287ADA" w:rsidRPr="00627DA0" w:rsidRDefault="00287ADA" w:rsidP="00460075">
            <w:pPr>
              <w:rPr>
                <w:rFonts w:cs="Calibri Light"/>
                <w:sz w:val="20"/>
                <w:szCs w:val="20"/>
              </w:rPr>
            </w:pPr>
            <w:r w:rsidRPr="00627DA0">
              <w:rPr>
                <w:rFonts w:cs="Calibri Light"/>
                <w:color w:val="000000"/>
                <w:sz w:val="20"/>
                <w:szCs w:val="20"/>
              </w:rPr>
              <w:t>Motors</w:t>
            </w:r>
          </w:p>
        </w:tc>
        <w:tc>
          <w:tcPr>
            <w:tcW w:w="3983" w:type="dxa"/>
            <w:tcBorders>
              <w:top w:val="single" w:sz="4" w:space="0" w:color="auto"/>
              <w:bottom w:val="single" w:sz="4" w:space="0" w:color="auto"/>
            </w:tcBorders>
            <w:shd w:val="clear" w:color="auto" w:fill="F2F2F2" w:themeFill="background1" w:themeFillShade="F2"/>
            <w:vAlign w:val="bottom"/>
          </w:tcPr>
          <w:p w14:paraId="1309EBEC" w14:textId="77777777" w:rsidR="00287ADA" w:rsidRPr="00627DA0" w:rsidRDefault="00287ADA" w:rsidP="00460075">
            <w:pPr>
              <w:rPr>
                <w:rFonts w:cs="Calibri Light"/>
                <w:sz w:val="20"/>
                <w:szCs w:val="20"/>
              </w:rPr>
            </w:pPr>
            <w:r w:rsidRPr="00627DA0">
              <w:rPr>
                <w:rFonts w:cs="Calibri Light"/>
                <w:color w:val="000000"/>
                <w:sz w:val="20"/>
                <w:szCs w:val="20"/>
              </w:rPr>
              <w:t>Well Pump</w:t>
            </w:r>
          </w:p>
        </w:tc>
        <w:tc>
          <w:tcPr>
            <w:tcW w:w="3117" w:type="dxa"/>
            <w:tcBorders>
              <w:top w:val="single" w:sz="4" w:space="0" w:color="auto"/>
              <w:bottom w:val="single" w:sz="4" w:space="0" w:color="auto"/>
            </w:tcBorders>
            <w:shd w:val="clear" w:color="auto" w:fill="F2F2F2" w:themeFill="background1" w:themeFillShade="F2"/>
          </w:tcPr>
          <w:p w14:paraId="7EAC8184"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17AE2E97" w14:textId="77777777" w:rsidTr="00460075">
        <w:tc>
          <w:tcPr>
            <w:tcW w:w="2250" w:type="dxa"/>
            <w:tcBorders>
              <w:top w:val="single" w:sz="4" w:space="0" w:color="auto"/>
            </w:tcBorders>
            <w:vAlign w:val="bottom"/>
          </w:tcPr>
          <w:p w14:paraId="61E41217" w14:textId="77777777" w:rsidR="00287ADA" w:rsidRPr="00627DA0" w:rsidRDefault="00287ADA" w:rsidP="00460075">
            <w:pPr>
              <w:rPr>
                <w:rFonts w:cs="Calibri Light"/>
                <w:sz w:val="20"/>
                <w:szCs w:val="20"/>
              </w:rPr>
            </w:pPr>
            <w:r w:rsidRPr="00627DA0">
              <w:rPr>
                <w:rFonts w:cs="Calibri Light"/>
                <w:color w:val="000000"/>
                <w:sz w:val="20"/>
                <w:szCs w:val="20"/>
              </w:rPr>
              <w:t>Water Heat</w:t>
            </w:r>
          </w:p>
        </w:tc>
        <w:tc>
          <w:tcPr>
            <w:tcW w:w="3983" w:type="dxa"/>
            <w:tcBorders>
              <w:top w:val="single" w:sz="4" w:space="0" w:color="auto"/>
            </w:tcBorders>
            <w:vAlign w:val="bottom"/>
          </w:tcPr>
          <w:p w14:paraId="0596DB5E" w14:textId="77777777" w:rsidR="00287ADA" w:rsidRPr="00627DA0" w:rsidRDefault="00287ADA" w:rsidP="00460075">
            <w:pPr>
              <w:rPr>
                <w:rFonts w:cs="Calibri Light"/>
                <w:sz w:val="20"/>
                <w:szCs w:val="20"/>
              </w:rPr>
            </w:pPr>
            <w:r w:rsidRPr="00627DA0">
              <w:rPr>
                <w:rFonts w:cs="Calibri Light"/>
                <w:color w:val="000000"/>
                <w:sz w:val="20"/>
                <w:szCs w:val="20"/>
              </w:rPr>
              <w:t>Aerators</w:t>
            </w:r>
          </w:p>
        </w:tc>
        <w:tc>
          <w:tcPr>
            <w:tcW w:w="3117" w:type="dxa"/>
            <w:tcBorders>
              <w:top w:val="single" w:sz="4" w:space="0" w:color="auto"/>
            </w:tcBorders>
          </w:tcPr>
          <w:p w14:paraId="076A64EB"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12285DCA" w14:textId="77777777" w:rsidTr="00460075">
        <w:tc>
          <w:tcPr>
            <w:tcW w:w="2250" w:type="dxa"/>
            <w:vAlign w:val="bottom"/>
          </w:tcPr>
          <w:p w14:paraId="103E1892"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394157FB" w14:textId="77777777" w:rsidR="00287ADA" w:rsidRPr="00627DA0" w:rsidRDefault="00287ADA" w:rsidP="00460075">
            <w:pPr>
              <w:rPr>
                <w:rFonts w:cs="Calibri Light"/>
                <w:sz w:val="20"/>
                <w:szCs w:val="20"/>
              </w:rPr>
            </w:pPr>
            <w:r w:rsidRPr="00627DA0">
              <w:rPr>
                <w:rFonts w:cs="Calibri Light"/>
                <w:color w:val="000000"/>
                <w:sz w:val="20"/>
                <w:szCs w:val="20"/>
              </w:rPr>
              <w:t>Circulator</w:t>
            </w:r>
          </w:p>
        </w:tc>
        <w:tc>
          <w:tcPr>
            <w:tcW w:w="3117" w:type="dxa"/>
            <w:shd w:val="clear" w:color="auto" w:fill="F2F2F2" w:themeFill="background1" w:themeFillShade="F2"/>
          </w:tcPr>
          <w:p w14:paraId="1AD901D7"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515998C4" w14:textId="77777777" w:rsidTr="00460075">
        <w:tc>
          <w:tcPr>
            <w:tcW w:w="2250" w:type="dxa"/>
            <w:vAlign w:val="bottom"/>
          </w:tcPr>
          <w:p w14:paraId="31A2C934" w14:textId="77777777" w:rsidR="00287ADA" w:rsidRPr="00627DA0" w:rsidRDefault="00287ADA" w:rsidP="00460075">
            <w:pPr>
              <w:rPr>
                <w:rFonts w:cs="Calibri Light"/>
                <w:sz w:val="20"/>
                <w:szCs w:val="20"/>
              </w:rPr>
            </w:pPr>
          </w:p>
        </w:tc>
        <w:tc>
          <w:tcPr>
            <w:tcW w:w="3983" w:type="dxa"/>
            <w:vAlign w:val="bottom"/>
          </w:tcPr>
          <w:p w14:paraId="4D0D99EB" w14:textId="77777777" w:rsidR="00287ADA" w:rsidRPr="00627DA0" w:rsidRDefault="00287ADA" w:rsidP="00460075">
            <w:pPr>
              <w:rPr>
                <w:rFonts w:cs="Calibri Light"/>
                <w:sz w:val="20"/>
                <w:szCs w:val="20"/>
              </w:rPr>
            </w:pPr>
            <w:r w:rsidRPr="00627DA0">
              <w:rPr>
                <w:rFonts w:cs="Calibri Light"/>
                <w:color w:val="000000"/>
                <w:sz w:val="20"/>
                <w:szCs w:val="20"/>
              </w:rPr>
              <w:t>Circulator Controls</w:t>
            </w:r>
          </w:p>
        </w:tc>
        <w:tc>
          <w:tcPr>
            <w:tcW w:w="3117" w:type="dxa"/>
          </w:tcPr>
          <w:p w14:paraId="1DD6B7E5"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0C1D2AEC" w14:textId="77777777" w:rsidTr="00460075">
        <w:tc>
          <w:tcPr>
            <w:tcW w:w="2250" w:type="dxa"/>
            <w:vAlign w:val="bottom"/>
          </w:tcPr>
          <w:p w14:paraId="75468977"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2E149A82" w14:textId="77777777" w:rsidR="00287ADA" w:rsidRPr="00627DA0" w:rsidRDefault="00287ADA" w:rsidP="00460075">
            <w:pPr>
              <w:rPr>
                <w:rFonts w:cs="Calibri Light"/>
                <w:sz w:val="20"/>
                <w:szCs w:val="20"/>
              </w:rPr>
            </w:pPr>
            <w:r w:rsidRPr="00627DA0">
              <w:rPr>
                <w:rFonts w:cs="Calibri Light"/>
                <w:color w:val="000000"/>
                <w:sz w:val="20"/>
                <w:szCs w:val="20"/>
              </w:rPr>
              <w:t>Dishwasher</w:t>
            </w:r>
          </w:p>
        </w:tc>
        <w:tc>
          <w:tcPr>
            <w:tcW w:w="3117" w:type="dxa"/>
            <w:shd w:val="clear" w:color="auto" w:fill="F2F2F2" w:themeFill="background1" w:themeFillShade="F2"/>
          </w:tcPr>
          <w:p w14:paraId="677845DD"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14100D51" w14:textId="77777777" w:rsidTr="00460075">
        <w:tc>
          <w:tcPr>
            <w:tcW w:w="2250" w:type="dxa"/>
            <w:vAlign w:val="bottom"/>
          </w:tcPr>
          <w:p w14:paraId="560447F8" w14:textId="77777777" w:rsidR="00287ADA" w:rsidRPr="00627DA0" w:rsidRDefault="00287ADA" w:rsidP="00460075">
            <w:pPr>
              <w:rPr>
                <w:rFonts w:cs="Calibri Light"/>
                <w:sz w:val="20"/>
                <w:szCs w:val="20"/>
              </w:rPr>
            </w:pPr>
          </w:p>
        </w:tc>
        <w:tc>
          <w:tcPr>
            <w:tcW w:w="3983" w:type="dxa"/>
            <w:vAlign w:val="bottom"/>
          </w:tcPr>
          <w:p w14:paraId="7D49E3AF" w14:textId="77777777" w:rsidR="00287ADA" w:rsidRPr="00627DA0" w:rsidRDefault="00287ADA" w:rsidP="00460075">
            <w:pPr>
              <w:rPr>
                <w:rFonts w:cs="Calibri Light"/>
                <w:sz w:val="20"/>
                <w:szCs w:val="20"/>
              </w:rPr>
            </w:pPr>
            <w:r w:rsidRPr="00627DA0">
              <w:rPr>
                <w:rFonts w:cs="Calibri Light"/>
                <w:color w:val="000000"/>
                <w:sz w:val="20"/>
                <w:szCs w:val="20"/>
              </w:rPr>
              <w:t>Gravity Film Heat Exchanger</w:t>
            </w:r>
          </w:p>
        </w:tc>
        <w:tc>
          <w:tcPr>
            <w:tcW w:w="3117" w:type="dxa"/>
          </w:tcPr>
          <w:p w14:paraId="16B0B4AD"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0A6A2FBE" w14:textId="77777777" w:rsidTr="00460075">
        <w:tc>
          <w:tcPr>
            <w:tcW w:w="2250" w:type="dxa"/>
            <w:vAlign w:val="bottom"/>
          </w:tcPr>
          <w:p w14:paraId="46DBA64E"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7387DBEB" w14:textId="77777777" w:rsidR="00287ADA" w:rsidRPr="00627DA0" w:rsidRDefault="00287ADA" w:rsidP="00460075">
            <w:pPr>
              <w:rPr>
                <w:rFonts w:cs="Calibri Light"/>
                <w:sz w:val="20"/>
                <w:szCs w:val="20"/>
              </w:rPr>
            </w:pPr>
            <w:r w:rsidRPr="00627DA0">
              <w:rPr>
                <w:rFonts w:cs="Calibri Light"/>
                <w:color w:val="000000"/>
                <w:sz w:val="20"/>
                <w:szCs w:val="20"/>
              </w:rPr>
              <w:t>Heat Pump Water Heater</w:t>
            </w:r>
          </w:p>
        </w:tc>
        <w:tc>
          <w:tcPr>
            <w:tcW w:w="3117" w:type="dxa"/>
            <w:shd w:val="clear" w:color="auto" w:fill="F2F2F2" w:themeFill="background1" w:themeFillShade="F2"/>
          </w:tcPr>
          <w:p w14:paraId="3E0CC18E" w14:textId="77777777" w:rsidR="00287ADA" w:rsidRPr="00627DA0" w:rsidRDefault="00287ADA" w:rsidP="00460075">
            <w:pPr>
              <w:rPr>
                <w:rFonts w:cs="Calibri Light"/>
                <w:sz w:val="20"/>
                <w:szCs w:val="20"/>
              </w:rPr>
            </w:pPr>
            <w:r w:rsidRPr="00627DA0">
              <w:rPr>
                <w:rFonts w:cs="Calibri Light"/>
                <w:sz w:val="20"/>
                <w:szCs w:val="20"/>
              </w:rPr>
              <w:t xml:space="preserve">2021 Power Plan, RTF </w:t>
            </w:r>
          </w:p>
        </w:tc>
      </w:tr>
      <w:tr w:rsidR="00287ADA" w:rsidRPr="00627DA0" w14:paraId="092A3C5E" w14:textId="77777777" w:rsidTr="00460075">
        <w:tc>
          <w:tcPr>
            <w:tcW w:w="2250" w:type="dxa"/>
            <w:vAlign w:val="bottom"/>
          </w:tcPr>
          <w:p w14:paraId="26B6469F" w14:textId="77777777" w:rsidR="00287ADA" w:rsidRPr="00627DA0" w:rsidRDefault="00287ADA" w:rsidP="00460075">
            <w:pPr>
              <w:rPr>
                <w:rFonts w:cs="Calibri Light"/>
                <w:sz w:val="20"/>
                <w:szCs w:val="20"/>
              </w:rPr>
            </w:pPr>
          </w:p>
        </w:tc>
        <w:tc>
          <w:tcPr>
            <w:tcW w:w="3983" w:type="dxa"/>
            <w:vAlign w:val="bottom"/>
          </w:tcPr>
          <w:p w14:paraId="39BFF6E3" w14:textId="77777777" w:rsidR="00287ADA" w:rsidRPr="00627DA0" w:rsidRDefault="00287ADA" w:rsidP="00460075">
            <w:pPr>
              <w:rPr>
                <w:rFonts w:cs="Calibri Light"/>
                <w:sz w:val="20"/>
                <w:szCs w:val="20"/>
              </w:rPr>
            </w:pPr>
            <w:r w:rsidRPr="00627DA0">
              <w:rPr>
                <w:rFonts w:cs="Calibri Light"/>
                <w:color w:val="000000"/>
                <w:sz w:val="20"/>
                <w:szCs w:val="20"/>
              </w:rPr>
              <w:t>Pipe Insulation</w:t>
            </w:r>
          </w:p>
        </w:tc>
        <w:tc>
          <w:tcPr>
            <w:tcW w:w="3117" w:type="dxa"/>
          </w:tcPr>
          <w:p w14:paraId="146F33FD"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r w:rsidR="00287ADA" w:rsidRPr="00627DA0" w14:paraId="5F4D0E99" w14:textId="77777777" w:rsidTr="00460075">
        <w:tc>
          <w:tcPr>
            <w:tcW w:w="2250" w:type="dxa"/>
            <w:vAlign w:val="bottom"/>
          </w:tcPr>
          <w:p w14:paraId="345A9241" w14:textId="77777777" w:rsidR="00287ADA" w:rsidRPr="00627DA0" w:rsidRDefault="00287ADA" w:rsidP="00460075">
            <w:pPr>
              <w:rPr>
                <w:rFonts w:cs="Calibri Light"/>
                <w:sz w:val="20"/>
                <w:szCs w:val="20"/>
              </w:rPr>
            </w:pPr>
          </w:p>
        </w:tc>
        <w:tc>
          <w:tcPr>
            <w:tcW w:w="3983" w:type="dxa"/>
            <w:shd w:val="clear" w:color="auto" w:fill="F2F2F2" w:themeFill="background1" w:themeFillShade="F2"/>
            <w:vAlign w:val="bottom"/>
          </w:tcPr>
          <w:p w14:paraId="11A9929F" w14:textId="77777777" w:rsidR="00287ADA" w:rsidRPr="00627DA0" w:rsidRDefault="00287ADA" w:rsidP="00460075">
            <w:pPr>
              <w:rPr>
                <w:rFonts w:cs="Calibri Light"/>
                <w:sz w:val="20"/>
                <w:szCs w:val="20"/>
              </w:rPr>
            </w:pPr>
            <w:r w:rsidRPr="00627DA0">
              <w:rPr>
                <w:rFonts w:cs="Calibri Light"/>
                <w:color w:val="000000"/>
                <w:sz w:val="20"/>
                <w:szCs w:val="20"/>
              </w:rPr>
              <w:t>Showerhead</w:t>
            </w:r>
          </w:p>
        </w:tc>
        <w:tc>
          <w:tcPr>
            <w:tcW w:w="3117" w:type="dxa"/>
            <w:shd w:val="clear" w:color="auto" w:fill="F2F2F2" w:themeFill="background1" w:themeFillShade="F2"/>
          </w:tcPr>
          <w:p w14:paraId="316A8A6C" w14:textId="22F77039" w:rsidR="00287ADA" w:rsidRPr="00627DA0" w:rsidRDefault="00287ADA" w:rsidP="00460075">
            <w:pPr>
              <w:rPr>
                <w:rFonts w:cs="Calibri Light"/>
                <w:sz w:val="20"/>
                <w:szCs w:val="20"/>
              </w:rPr>
            </w:pPr>
            <w:r w:rsidRPr="00627DA0">
              <w:rPr>
                <w:rFonts w:cs="Calibri Light"/>
                <w:sz w:val="20"/>
                <w:szCs w:val="20"/>
              </w:rPr>
              <w:t>2021 Power Plan</w:t>
            </w:r>
          </w:p>
        </w:tc>
      </w:tr>
      <w:tr w:rsidR="00287ADA" w:rsidRPr="00627DA0" w14:paraId="57C96DFD" w14:textId="77777777" w:rsidTr="00460075">
        <w:tc>
          <w:tcPr>
            <w:tcW w:w="2250" w:type="dxa"/>
            <w:tcBorders>
              <w:bottom w:val="single" w:sz="4" w:space="0" w:color="auto"/>
            </w:tcBorders>
            <w:vAlign w:val="bottom"/>
          </w:tcPr>
          <w:p w14:paraId="2A35FAB8" w14:textId="77777777" w:rsidR="00287ADA" w:rsidRPr="00627DA0" w:rsidRDefault="00287ADA" w:rsidP="00460075">
            <w:pPr>
              <w:rPr>
                <w:rFonts w:cs="Calibri Light"/>
                <w:sz w:val="20"/>
                <w:szCs w:val="20"/>
              </w:rPr>
            </w:pPr>
          </w:p>
        </w:tc>
        <w:tc>
          <w:tcPr>
            <w:tcW w:w="3983" w:type="dxa"/>
            <w:tcBorders>
              <w:bottom w:val="single" w:sz="4" w:space="0" w:color="auto"/>
            </w:tcBorders>
            <w:vAlign w:val="bottom"/>
          </w:tcPr>
          <w:p w14:paraId="73E03756" w14:textId="77777777" w:rsidR="00287ADA" w:rsidRPr="00627DA0" w:rsidRDefault="00287ADA" w:rsidP="00460075">
            <w:pPr>
              <w:rPr>
                <w:rFonts w:cs="Calibri Light"/>
                <w:sz w:val="20"/>
                <w:szCs w:val="20"/>
              </w:rPr>
            </w:pPr>
            <w:r w:rsidRPr="00627DA0">
              <w:rPr>
                <w:rFonts w:cs="Calibri Light"/>
                <w:color w:val="000000"/>
                <w:sz w:val="20"/>
                <w:szCs w:val="20"/>
              </w:rPr>
              <w:t>Thermostatic Restrictor Valve</w:t>
            </w:r>
          </w:p>
        </w:tc>
        <w:tc>
          <w:tcPr>
            <w:tcW w:w="3117" w:type="dxa"/>
            <w:tcBorders>
              <w:bottom w:val="single" w:sz="4" w:space="0" w:color="auto"/>
            </w:tcBorders>
          </w:tcPr>
          <w:p w14:paraId="7BB7DDEB" w14:textId="77777777" w:rsidR="00287ADA" w:rsidRPr="00627DA0" w:rsidRDefault="00287ADA" w:rsidP="00460075">
            <w:pPr>
              <w:rPr>
                <w:rFonts w:cs="Calibri Light"/>
                <w:sz w:val="20"/>
                <w:szCs w:val="20"/>
              </w:rPr>
            </w:pPr>
            <w:r w:rsidRPr="00627DA0">
              <w:rPr>
                <w:rFonts w:cs="Calibri Light"/>
                <w:sz w:val="20"/>
                <w:szCs w:val="20"/>
              </w:rPr>
              <w:t>2021 Power Plan, RTF</w:t>
            </w:r>
          </w:p>
        </w:tc>
      </w:tr>
      <w:tr w:rsidR="00287ADA" w:rsidRPr="00627DA0" w14:paraId="19ED187B" w14:textId="77777777" w:rsidTr="00460075">
        <w:tc>
          <w:tcPr>
            <w:tcW w:w="2250" w:type="dxa"/>
            <w:tcBorders>
              <w:top w:val="single" w:sz="4" w:space="0" w:color="auto"/>
              <w:bottom w:val="single" w:sz="4" w:space="0" w:color="auto"/>
            </w:tcBorders>
            <w:vAlign w:val="bottom"/>
          </w:tcPr>
          <w:p w14:paraId="658D7938" w14:textId="77777777" w:rsidR="00287ADA" w:rsidRPr="00627DA0" w:rsidRDefault="00287ADA" w:rsidP="00460075">
            <w:pPr>
              <w:rPr>
                <w:rFonts w:cs="Calibri Light"/>
                <w:sz w:val="20"/>
                <w:szCs w:val="20"/>
              </w:rPr>
            </w:pPr>
            <w:r w:rsidRPr="00627DA0">
              <w:rPr>
                <w:rFonts w:cs="Calibri Light"/>
                <w:color w:val="000000"/>
                <w:sz w:val="20"/>
                <w:szCs w:val="20"/>
              </w:rPr>
              <w:t>Whole Home</w:t>
            </w:r>
          </w:p>
        </w:tc>
        <w:tc>
          <w:tcPr>
            <w:tcW w:w="3983" w:type="dxa"/>
            <w:tcBorders>
              <w:top w:val="single" w:sz="4" w:space="0" w:color="auto"/>
              <w:bottom w:val="single" w:sz="4" w:space="0" w:color="auto"/>
            </w:tcBorders>
            <w:shd w:val="clear" w:color="auto" w:fill="F2F2F2" w:themeFill="background1" w:themeFillShade="F2"/>
            <w:vAlign w:val="bottom"/>
          </w:tcPr>
          <w:p w14:paraId="7F705246" w14:textId="77777777" w:rsidR="00287ADA" w:rsidRPr="00627DA0" w:rsidRDefault="00287ADA" w:rsidP="00460075">
            <w:pPr>
              <w:rPr>
                <w:rFonts w:cs="Calibri Light"/>
                <w:sz w:val="20"/>
                <w:szCs w:val="20"/>
              </w:rPr>
            </w:pPr>
            <w:r w:rsidRPr="00627DA0">
              <w:rPr>
                <w:rFonts w:cs="Calibri Light"/>
                <w:color w:val="000000"/>
                <w:sz w:val="20"/>
                <w:szCs w:val="20"/>
              </w:rPr>
              <w:t>Behavior</w:t>
            </w:r>
          </w:p>
        </w:tc>
        <w:tc>
          <w:tcPr>
            <w:tcW w:w="3117" w:type="dxa"/>
            <w:tcBorders>
              <w:top w:val="single" w:sz="4" w:space="0" w:color="auto"/>
              <w:bottom w:val="single" w:sz="4" w:space="0" w:color="auto"/>
            </w:tcBorders>
            <w:shd w:val="clear" w:color="auto" w:fill="F2F2F2" w:themeFill="background1" w:themeFillShade="F2"/>
          </w:tcPr>
          <w:p w14:paraId="13114E14" w14:textId="77777777" w:rsidR="00287ADA" w:rsidRPr="00627DA0" w:rsidRDefault="00287ADA" w:rsidP="00460075">
            <w:pPr>
              <w:rPr>
                <w:rFonts w:cs="Calibri Light"/>
                <w:sz w:val="20"/>
                <w:szCs w:val="20"/>
              </w:rPr>
            </w:pPr>
            <w:r w:rsidRPr="00627DA0">
              <w:rPr>
                <w:rFonts w:cs="Calibri Light"/>
                <w:sz w:val="20"/>
                <w:szCs w:val="20"/>
              </w:rPr>
              <w:t xml:space="preserve">2021 Power Plan </w:t>
            </w:r>
          </w:p>
        </w:tc>
      </w:tr>
    </w:tbl>
    <w:p w14:paraId="16452E2B" w14:textId="138B53B8" w:rsidR="00F27D19" w:rsidRPr="00627DA0" w:rsidRDefault="00F27D19" w:rsidP="00F27D19"/>
    <w:p w14:paraId="63177962" w14:textId="189EDEDA" w:rsidR="00FE12C7" w:rsidRPr="00627DA0" w:rsidRDefault="00FE12C7" w:rsidP="00F27D19"/>
    <w:p w14:paraId="21D7FF21" w14:textId="060FA637" w:rsidR="00FE12C7" w:rsidRPr="00627DA0" w:rsidRDefault="00FE12C7">
      <w:r w:rsidRPr="00627DA0">
        <w:br w:type="page"/>
      </w:r>
    </w:p>
    <w:p w14:paraId="216838A4" w14:textId="7114AB47" w:rsidR="002551A5" w:rsidRPr="00627DA0" w:rsidRDefault="00D46A30" w:rsidP="00D46A30">
      <w:pPr>
        <w:pStyle w:val="Caption"/>
      </w:pPr>
      <w:bookmarkStart w:id="168" w:name="_Toc207870744"/>
      <w:r w:rsidRPr="00627DA0">
        <w:lastRenderedPageBreak/>
        <w:t xml:space="preserve">Table </w:t>
      </w:r>
      <w:fldSimple w:instr=" SEQ Table \* ARABIC ">
        <w:r w:rsidR="00431297" w:rsidRPr="00627DA0">
          <w:t>15</w:t>
        </w:r>
      </w:fldSimple>
      <w:r w:rsidRPr="00627DA0">
        <w:t>: Commercial End Uses and Measures</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4770"/>
        <w:gridCol w:w="2780"/>
      </w:tblGrid>
      <w:tr w:rsidR="00931A29" w:rsidRPr="00627DA0" w14:paraId="577656E3" w14:textId="77777777" w:rsidTr="00460075">
        <w:tc>
          <w:tcPr>
            <w:tcW w:w="1800" w:type="dxa"/>
            <w:tcBorders>
              <w:top w:val="single" w:sz="12" w:space="0" w:color="auto"/>
              <w:bottom w:val="single" w:sz="12" w:space="0" w:color="auto"/>
            </w:tcBorders>
            <w:shd w:val="clear" w:color="auto" w:fill="00205C" w:themeFill="accent1" w:themeFillShade="BF"/>
          </w:tcPr>
          <w:p w14:paraId="3B134669" w14:textId="77777777" w:rsidR="00931A29" w:rsidRPr="00627DA0" w:rsidRDefault="00931A29" w:rsidP="00460075">
            <w:pPr>
              <w:rPr>
                <w:rFonts w:cs="Calibri Light"/>
                <w:b/>
                <w:bCs/>
                <w:sz w:val="20"/>
                <w:szCs w:val="20"/>
              </w:rPr>
            </w:pPr>
            <w:r w:rsidRPr="00627DA0">
              <w:rPr>
                <w:rFonts w:cs="Calibri Light"/>
                <w:b/>
                <w:bCs/>
                <w:sz w:val="20"/>
                <w:szCs w:val="20"/>
              </w:rPr>
              <w:t>End Use</w:t>
            </w:r>
          </w:p>
        </w:tc>
        <w:tc>
          <w:tcPr>
            <w:tcW w:w="4770" w:type="dxa"/>
            <w:tcBorders>
              <w:top w:val="single" w:sz="12" w:space="0" w:color="auto"/>
              <w:bottom w:val="single" w:sz="12" w:space="0" w:color="auto"/>
            </w:tcBorders>
            <w:shd w:val="clear" w:color="auto" w:fill="00205C" w:themeFill="accent1" w:themeFillShade="BF"/>
          </w:tcPr>
          <w:p w14:paraId="6D81075A" w14:textId="77777777" w:rsidR="00931A29" w:rsidRPr="00627DA0" w:rsidRDefault="00931A29" w:rsidP="00460075">
            <w:pPr>
              <w:rPr>
                <w:rFonts w:cs="Calibri Light"/>
                <w:b/>
                <w:bCs/>
                <w:sz w:val="20"/>
                <w:szCs w:val="20"/>
              </w:rPr>
            </w:pPr>
            <w:r w:rsidRPr="00627DA0">
              <w:rPr>
                <w:rFonts w:cs="Calibri Light"/>
                <w:b/>
                <w:bCs/>
                <w:sz w:val="20"/>
                <w:szCs w:val="20"/>
              </w:rPr>
              <w:t>Measure Category</w:t>
            </w:r>
          </w:p>
        </w:tc>
        <w:tc>
          <w:tcPr>
            <w:tcW w:w="2780" w:type="dxa"/>
            <w:tcBorders>
              <w:top w:val="single" w:sz="12" w:space="0" w:color="auto"/>
              <w:bottom w:val="single" w:sz="12" w:space="0" w:color="auto"/>
            </w:tcBorders>
            <w:shd w:val="clear" w:color="auto" w:fill="00205C" w:themeFill="accent1" w:themeFillShade="BF"/>
          </w:tcPr>
          <w:p w14:paraId="0A040667" w14:textId="77777777" w:rsidR="00931A29" w:rsidRPr="00627DA0" w:rsidRDefault="00931A29" w:rsidP="00460075">
            <w:pPr>
              <w:rPr>
                <w:rFonts w:cs="Calibri Light"/>
                <w:b/>
                <w:bCs/>
                <w:sz w:val="20"/>
                <w:szCs w:val="20"/>
              </w:rPr>
            </w:pPr>
            <w:r w:rsidRPr="00627DA0">
              <w:rPr>
                <w:rFonts w:cs="Calibri Light"/>
                <w:b/>
                <w:bCs/>
                <w:sz w:val="20"/>
                <w:szCs w:val="20"/>
              </w:rPr>
              <w:t>Data Source(s)</w:t>
            </w:r>
          </w:p>
        </w:tc>
      </w:tr>
      <w:tr w:rsidR="00931A29" w:rsidRPr="00627DA0" w14:paraId="3BDEAA0C" w14:textId="77777777" w:rsidTr="00460075">
        <w:tc>
          <w:tcPr>
            <w:tcW w:w="1800" w:type="dxa"/>
            <w:tcBorders>
              <w:top w:val="single" w:sz="12" w:space="0" w:color="auto"/>
              <w:bottom w:val="single" w:sz="4" w:space="0" w:color="000000" w:themeColor="text1"/>
            </w:tcBorders>
          </w:tcPr>
          <w:p w14:paraId="71F02884" w14:textId="77777777" w:rsidR="00931A29" w:rsidRPr="00627DA0" w:rsidRDefault="00931A29" w:rsidP="00460075">
            <w:pPr>
              <w:rPr>
                <w:rFonts w:cs="Calibri Light"/>
                <w:sz w:val="20"/>
                <w:szCs w:val="20"/>
              </w:rPr>
            </w:pPr>
            <w:r w:rsidRPr="00627DA0">
              <w:rPr>
                <w:rFonts w:cs="Calibri Light"/>
                <w:sz w:val="20"/>
                <w:szCs w:val="20"/>
              </w:rPr>
              <w:t>Compressed Air</w:t>
            </w:r>
          </w:p>
        </w:tc>
        <w:tc>
          <w:tcPr>
            <w:tcW w:w="4770" w:type="dxa"/>
            <w:tcBorders>
              <w:top w:val="single" w:sz="12" w:space="0" w:color="auto"/>
              <w:bottom w:val="single" w:sz="4" w:space="0" w:color="000000" w:themeColor="text1"/>
            </w:tcBorders>
          </w:tcPr>
          <w:p w14:paraId="254F38EE" w14:textId="77777777" w:rsidR="00931A29" w:rsidRPr="00627DA0" w:rsidRDefault="00931A29" w:rsidP="00460075">
            <w:pPr>
              <w:jc w:val="left"/>
              <w:rPr>
                <w:rFonts w:cs="Calibri Light"/>
                <w:sz w:val="20"/>
                <w:szCs w:val="20"/>
              </w:rPr>
            </w:pPr>
            <w:r w:rsidRPr="00627DA0">
              <w:rPr>
                <w:rFonts w:cs="Calibri Light"/>
                <w:sz w:val="20"/>
                <w:szCs w:val="20"/>
              </w:rPr>
              <w:t>Air Compressor</w:t>
            </w:r>
          </w:p>
        </w:tc>
        <w:tc>
          <w:tcPr>
            <w:tcW w:w="2780" w:type="dxa"/>
            <w:tcBorders>
              <w:top w:val="single" w:sz="12" w:space="0" w:color="auto"/>
              <w:bottom w:val="single" w:sz="4" w:space="0" w:color="000000" w:themeColor="text1"/>
            </w:tcBorders>
          </w:tcPr>
          <w:p w14:paraId="6B47C85E"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03BFEF2E" w14:textId="77777777" w:rsidTr="00460075">
        <w:tc>
          <w:tcPr>
            <w:tcW w:w="1800" w:type="dxa"/>
            <w:vMerge w:val="restart"/>
            <w:tcBorders>
              <w:top w:val="single" w:sz="4" w:space="0" w:color="000000" w:themeColor="text1"/>
            </w:tcBorders>
          </w:tcPr>
          <w:p w14:paraId="682E576A" w14:textId="77777777" w:rsidR="00931A29" w:rsidRPr="00627DA0" w:rsidRDefault="00931A29" w:rsidP="00460075">
            <w:pPr>
              <w:rPr>
                <w:rFonts w:cs="Calibri Light"/>
                <w:sz w:val="20"/>
                <w:szCs w:val="20"/>
              </w:rPr>
            </w:pPr>
            <w:r w:rsidRPr="00627DA0">
              <w:rPr>
                <w:rFonts w:cs="Calibri Light"/>
                <w:sz w:val="20"/>
                <w:szCs w:val="20"/>
              </w:rPr>
              <w:t>Electronics</w:t>
            </w:r>
          </w:p>
        </w:tc>
        <w:tc>
          <w:tcPr>
            <w:tcW w:w="4770" w:type="dxa"/>
            <w:tcBorders>
              <w:top w:val="single" w:sz="4" w:space="0" w:color="000000" w:themeColor="text1"/>
            </w:tcBorders>
            <w:shd w:val="clear" w:color="auto" w:fill="F2F2F2" w:themeFill="background1" w:themeFillShade="F2"/>
            <w:vAlign w:val="bottom"/>
          </w:tcPr>
          <w:p w14:paraId="54DC5B2B" w14:textId="77777777" w:rsidR="00931A29" w:rsidRPr="00627DA0" w:rsidRDefault="00931A29" w:rsidP="00460075">
            <w:pPr>
              <w:jc w:val="left"/>
              <w:rPr>
                <w:rFonts w:cs="Calibri Light"/>
                <w:sz w:val="20"/>
                <w:szCs w:val="20"/>
              </w:rPr>
            </w:pPr>
            <w:r w:rsidRPr="00627DA0">
              <w:rPr>
                <w:rFonts w:cs="Calibri Light"/>
                <w:sz w:val="20"/>
                <w:szCs w:val="20"/>
              </w:rPr>
              <w:t>Computers</w:t>
            </w:r>
          </w:p>
        </w:tc>
        <w:tc>
          <w:tcPr>
            <w:tcW w:w="2780" w:type="dxa"/>
            <w:tcBorders>
              <w:top w:val="single" w:sz="4" w:space="0" w:color="000000" w:themeColor="text1"/>
            </w:tcBorders>
            <w:shd w:val="clear" w:color="auto" w:fill="F2F2F2" w:themeFill="background1" w:themeFillShade="F2"/>
          </w:tcPr>
          <w:p w14:paraId="24A25C69"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4EB4E78E" w14:textId="77777777" w:rsidTr="00460075">
        <w:tc>
          <w:tcPr>
            <w:tcW w:w="1800" w:type="dxa"/>
            <w:vMerge/>
          </w:tcPr>
          <w:p w14:paraId="754772AD" w14:textId="77777777" w:rsidR="00931A29" w:rsidRPr="00627DA0" w:rsidRDefault="00931A29" w:rsidP="00460075">
            <w:pPr>
              <w:rPr>
                <w:rFonts w:cs="Calibri Light"/>
                <w:sz w:val="20"/>
                <w:szCs w:val="20"/>
              </w:rPr>
            </w:pPr>
          </w:p>
        </w:tc>
        <w:tc>
          <w:tcPr>
            <w:tcW w:w="4770" w:type="dxa"/>
            <w:vAlign w:val="bottom"/>
          </w:tcPr>
          <w:p w14:paraId="5107552D" w14:textId="77777777" w:rsidR="00931A29" w:rsidRPr="00627DA0" w:rsidRDefault="00931A29" w:rsidP="00460075">
            <w:pPr>
              <w:jc w:val="left"/>
              <w:rPr>
                <w:rFonts w:cs="Calibri Light"/>
                <w:sz w:val="20"/>
                <w:szCs w:val="20"/>
              </w:rPr>
            </w:pPr>
            <w:r w:rsidRPr="00627DA0">
              <w:rPr>
                <w:rFonts w:cs="Calibri Light"/>
                <w:sz w:val="20"/>
                <w:szCs w:val="20"/>
              </w:rPr>
              <w:t>Power Supplies</w:t>
            </w:r>
          </w:p>
        </w:tc>
        <w:tc>
          <w:tcPr>
            <w:tcW w:w="2780" w:type="dxa"/>
          </w:tcPr>
          <w:p w14:paraId="215B82C8"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2DCBDA78" w14:textId="77777777" w:rsidTr="00460075">
        <w:tc>
          <w:tcPr>
            <w:tcW w:w="1800" w:type="dxa"/>
            <w:vMerge/>
          </w:tcPr>
          <w:p w14:paraId="0D241592"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3C5C337E" w14:textId="77777777" w:rsidR="00931A29" w:rsidRPr="00627DA0" w:rsidRDefault="00931A29" w:rsidP="00460075">
            <w:pPr>
              <w:jc w:val="left"/>
              <w:rPr>
                <w:rFonts w:cs="Calibri Light"/>
                <w:sz w:val="20"/>
                <w:szCs w:val="20"/>
              </w:rPr>
            </w:pPr>
            <w:r w:rsidRPr="00627DA0">
              <w:rPr>
                <w:rFonts w:cs="Calibri Light"/>
                <w:sz w:val="20"/>
                <w:szCs w:val="20"/>
              </w:rPr>
              <w:t>Smart Power Strips</w:t>
            </w:r>
          </w:p>
        </w:tc>
        <w:tc>
          <w:tcPr>
            <w:tcW w:w="2780" w:type="dxa"/>
            <w:shd w:val="clear" w:color="auto" w:fill="F2F2F2" w:themeFill="background1" w:themeFillShade="F2"/>
          </w:tcPr>
          <w:p w14:paraId="38303E1E"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7EB34977" w14:textId="77777777" w:rsidTr="00460075">
        <w:tc>
          <w:tcPr>
            <w:tcW w:w="1800" w:type="dxa"/>
            <w:vMerge/>
          </w:tcPr>
          <w:p w14:paraId="0088F1B5" w14:textId="77777777" w:rsidR="00931A29" w:rsidRPr="00627DA0" w:rsidRDefault="00931A29" w:rsidP="00460075">
            <w:pPr>
              <w:rPr>
                <w:rFonts w:cs="Calibri Light"/>
                <w:sz w:val="20"/>
                <w:szCs w:val="20"/>
              </w:rPr>
            </w:pPr>
          </w:p>
        </w:tc>
        <w:tc>
          <w:tcPr>
            <w:tcW w:w="4770" w:type="dxa"/>
            <w:vAlign w:val="bottom"/>
          </w:tcPr>
          <w:p w14:paraId="20AD6481" w14:textId="77777777" w:rsidR="00931A29" w:rsidRPr="00627DA0" w:rsidRDefault="00931A29" w:rsidP="00460075">
            <w:pPr>
              <w:jc w:val="left"/>
              <w:rPr>
                <w:rFonts w:cs="Calibri Light"/>
                <w:sz w:val="20"/>
                <w:szCs w:val="20"/>
              </w:rPr>
            </w:pPr>
            <w:r w:rsidRPr="00627DA0">
              <w:rPr>
                <w:rFonts w:cs="Calibri Light"/>
                <w:sz w:val="20"/>
                <w:szCs w:val="20"/>
              </w:rPr>
              <w:t>Servers</w:t>
            </w:r>
          </w:p>
        </w:tc>
        <w:tc>
          <w:tcPr>
            <w:tcW w:w="2780" w:type="dxa"/>
          </w:tcPr>
          <w:p w14:paraId="36F561BC"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5D0221D9" w14:textId="77777777" w:rsidTr="00460075">
        <w:tc>
          <w:tcPr>
            <w:tcW w:w="1800" w:type="dxa"/>
            <w:vMerge w:val="restart"/>
            <w:tcBorders>
              <w:top w:val="single" w:sz="4" w:space="0" w:color="000000" w:themeColor="text1"/>
            </w:tcBorders>
          </w:tcPr>
          <w:p w14:paraId="3F164C6C" w14:textId="77777777" w:rsidR="00931A29" w:rsidRPr="00627DA0" w:rsidRDefault="00931A29" w:rsidP="00460075">
            <w:pPr>
              <w:rPr>
                <w:rFonts w:cs="Calibri Light"/>
                <w:color w:val="000000"/>
                <w:sz w:val="20"/>
                <w:szCs w:val="20"/>
              </w:rPr>
            </w:pPr>
            <w:r w:rsidRPr="00627DA0">
              <w:rPr>
                <w:rFonts w:cs="Calibri Light"/>
                <w:color w:val="000000"/>
                <w:sz w:val="20"/>
                <w:szCs w:val="20"/>
              </w:rPr>
              <w:t>Food Preparation</w:t>
            </w:r>
          </w:p>
        </w:tc>
        <w:tc>
          <w:tcPr>
            <w:tcW w:w="4770" w:type="dxa"/>
            <w:tcBorders>
              <w:top w:val="single" w:sz="4" w:space="0" w:color="000000" w:themeColor="text1"/>
            </w:tcBorders>
            <w:shd w:val="clear" w:color="auto" w:fill="F2F2F2" w:themeFill="background1" w:themeFillShade="F2"/>
            <w:vAlign w:val="bottom"/>
          </w:tcPr>
          <w:p w14:paraId="557E9E2E" w14:textId="77777777" w:rsidR="00931A29" w:rsidRPr="00627DA0" w:rsidRDefault="00931A29" w:rsidP="00460075">
            <w:pPr>
              <w:jc w:val="left"/>
              <w:rPr>
                <w:rFonts w:cs="Calibri Light"/>
                <w:sz w:val="20"/>
                <w:szCs w:val="20"/>
              </w:rPr>
            </w:pPr>
            <w:r w:rsidRPr="00627DA0">
              <w:rPr>
                <w:rFonts w:cs="Calibri Light"/>
                <w:sz w:val="20"/>
                <w:szCs w:val="20"/>
              </w:rPr>
              <w:t>Combination Ovens</w:t>
            </w:r>
          </w:p>
        </w:tc>
        <w:tc>
          <w:tcPr>
            <w:tcW w:w="2780" w:type="dxa"/>
            <w:tcBorders>
              <w:top w:val="single" w:sz="4" w:space="0" w:color="000000" w:themeColor="text1"/>
            </w:tcBorders>
            <w:shd w:val="clear" w:color="auto" w:fill="F2F2F2" w:themeFill="background1" w:themeFillShade="F2"/>
          </w:tcPr>
          <w:p w14:paraId="75872778"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1A06D92C" w14:textId="77777777" w:rsidTr="00460075">
        <w:tc>
          <w:tcPr>
            <w:tcW w:w="1800" w:type="dxa"/>
            <w:vMerge/>
          </w:tcPr>
          <w:p w14:paraId="35D97A65" w14:textId="77777777" w:rsidR="00931A29" w:rsidRPr="00627DA0" w:rsidRDefault="00931A29" w:rsidP="00460075">
            <w:pPr>
              <w:rPr>
                <w:rFonts w:cs="Calibri Light"/>
                <w:sz w:val="20"/>
                <w:szCs w:val="20"/>
              </w:rPr>
            </w:pPr>
          </w:p>
        </w:tc>
        <w:tc>
          <w:tcPr>
            <w:tcW w:w="4770" w:type="dxa"/>
            <w:vAlign w:val="bottom"/>
          </w:tcPr>
          <w:p w14:paraId="73393221" w14:textId="77777777" w:rsidR="00931A29" w:rsidRPr="00627DA0" w:rsidRDefault="00931A29" w:rsidP="00460075">
            <w:pPr>
              <w:jc w:val="left"/>
              <w:rPr>
                <w:rFonts w:cs="Calibri Light"/>
                <w:sz w:val="20"/>
                <w:szCs w:val="20"/>
              </w:rPr>
            </w:pPr>
            <w:r w:rsidRPr="00627DA0">
              <w:rPr>
                <w:rFonts w:cs="Calibri Light"/>
                <w:sz w:val="20"/>
                <w:szCs w:val="20"/>
              </w:rPr>
              <w:t>Convection Ovens</w:t>
            </w:r>
          </w:p>
        </w:tc>
        <w:tc>
          <w:tcPr>
            <w:tcW w:w="2780" w:type="dxa"/>
          </w:tcPr>
          <w:p w14:paraId="74451A17"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7B16E08E" w14:textId="77777777" w:rsidTr="00460075">
        <w:tc>
          <w:tcPr>
            <w:tcW w:w="1800" w:type="dxa"/>
            <w:vMerge/>
          </w:tcPr>
          <w:p w14:paraId="13C6275B"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33E094A4" w14:textId="77777777" w:rsidR="00931A29" w:rsidRPr="00627DA0" w:rsidRDefault="00931A29" w:rsidP="00460075">
            <w:pPr>
              <w:jc w:val="left"/>
              <w:rPr>
                <w:rFonts w:cs="Calibri Light"/>
                <w:sz w:val="20"/>
                <w:szCs w:val="20"/>
              </w:rPr>
            </w:pPr>
            <w:r w:rsidRPr="00627DA0">
              <w:rPr>
                <w:rFonts w:cs="Calibri Light"/>
                <w:sz w:val="20"/>
                <w:szCs w:val="20"/>
              </w:rPr>
              <w:t>Fryers</w:t>
            </w:r>
          </w:p>
        </w:tc>
        <w:tc>
          <w:tcPr>
            <w:tcW w:w="2780" w:type="dxa"/>
            <w:shd w:val="clear" w:color="auto" w:fill="F2F2F2" w:themeFill="background1" w:themeFillShade="F2"/>
          </w:tcPr>
          <w:p w14:paraId="49B33577" w14:textId="77777777" w:rsidR="00931A29" w:rsidRPr="00627DA0" w:rsidRDefault="00931A29" w:rsidP="00460075">
            <w:pPr>
              <w:rPr>
                <w:rFonts w:cs="Calibri Light"/>
                <w:sz w:val="20"/>
                <w:szCs w:val="20"/>
              </w:rPr>
            </w:pPr>
            <w:r w:rsidRPr="00627DA0">
              <w:rPr>
                <w:sz w:val="20"/>
                <w:szCs w:val="20"/>
              </w:rPr>
              <w:t xml:space="preserve">2021 Power Plan, RTF </w:t>
            </w:r>
          </w:p>
        </w:tc>
      </w:tr>
      <w:tr w:rsidR="00931A29" w:rsidRPr="00627DA0" w14:paraId="261DCFE7" w14:textId="77777777" w:rsidTr="00460075">
        <w:tc>
          <w:tcPr>
            <w:tcW w:w="1800" w:type="dxa"/>
            <w:vMerge/>
          </w:tcPr>
          <w:p w14:paraId="37B1AEFB" w14:textId="77777777" w:rsidR="00931A29" w:rsidRPr="00627DA0" w:rsidRDefault="00931A29" w:rsidP="00460075">
            <w:pPr>
              <w:rPr>
                <w:rFonts w:cs="Calibri Light"/>
                <w:sz w:val="20"/>
                <w:szCs w:val="20"/>
              </w:rPr>
            </w:pPr>
          </w:p>
        </w:tc>
        <w:tc>
          <w:tcPr>
            <w:tcW w:w="4770" w:type="dxa"/>
            <w:vAlign w:val="bottom"/>
          </w:tcPr>
          <w:p w14:paraId="3692B5B7" w14:textId="77777777" w:rsidR="00931A29" w:rsidRPr="00627DA0" w:rsidRDefault="00931A29" w:rsidP="00460075">
            <w:pPr>
              <w:jc w:val="left"/>
              <w:rPr>
                <w:rFonts w:cs="Calibri Light"/>
                <w:sz w:val="20"/>
                <w:szCs w:val="20"/>
              </w:rPr>
            </w:pPr>
            <w:r w:rsidRPr="00627DA0">
              <w:rPr>
                <w:rFonts w:cs="Calibri Light"/>
                <w:sz w:val="20"/>
                <w:szCs w:val="20"/>
              </w:rPr>
              <w:t>Griddle</w:t>
            </w:r>
          </w:p>
        </w:tc>
        <w:tc>
          <w:tcPr>
            <w:tcW w:w="2780" w:type="dxa"/>
          </w:tcPr>
          <w:p w14:paraId="355201DA"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1E3FDFC0" w14:textId="77777777" w:rsidTr="00460075">
        <w:tc>
          <w:tcPr>
            <w:tcW w:w="1800" w:type="dxa"/>
            <w:vMerge/>
          </w:tcPr>
          <w:p w14:paraId="60BDA43D"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66529166" w14:textId="77777777" w:rsidR="00931A29" w:rsidRPr="00627DA0" w:rsidRDefault="00931A29" w:rsidP="00460075">
            <w:pPr>
              <w:jc w:val="left"/>
              <w:rPr>
                <w:rFonts w:cs="Calibri Light"/>
                <w:sz w:val="20"/>
                <w:szCs w:val="20"/>
              </w:rPr>
            </w:pPr>
            <w:r w:rsidRPr="00627DA0">
              <w:rPr>
                <w:rFonts w:cs="Calibri Light"/>
                <w:sz w:val="20"/>
                <w:szCs w:val="20"/>
              </w:rPr>
              <w:t>Hot Food Holding Cabinet</w:t>
            </w:r>
          </w:p>
        </w:tc>
        <w:tc>
          <w:tcPr>
            <w:tcW w:w="2780" w:type="dxa"/>
            <w:shd w:val="clear" w:color="auto" w:fill="F2F2F2" w:themeFill="background1" w:themeFillShade="F2"/>
          </w:tcPr>
          <w:p w14:paraId="08A0DCB6"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41DD4929" w14:textId="77777777" w:rsidTr="00460075">
        <w:tc>
          <w:tcPr>
            <w:tcW w:w="1800" w:type="dxa"/>
            <w:vMerge/>
          </w:tcPr>
          <w:p w14:paraId="137793FB" w14:textId="77777777" w:rsidR="00931A29" w:rsidRPr="00627DA0" w:rsidRDefault="00931A29" w:rsidP="00460075">
            <w:pPr>
              <w:rPr>
                <w:rFonts w:cs="Calibri Light"/>
                <w:sz w:val="20"/>
                <w:szCs w:val="20"/>
              </w:rPr>
            </w:pPr>
          </w:p>
        </w:tc>
        <w:tc>
          <w:tcPr>
            <w:tcW w:w="4770" w:type="dxa"/>
            <w:vAlign w:val="bottom"/>
          </w:tcPr>
          <w:p w14:paraId="6D74C5BE" w14:textId="77777777" w:rsidR="00931A29" w:rsidRPr="00627DA0" w:rsidRDefault="00931A29" w:rsidP="00460075">
            <w:pPr>
              <w:jc w:val="left"/>
              <w:rPr>
                <w:rFonts w:cs="Calibri Light"/>
                <w:sz w:val="20"/>
                <w:szCs w:val="20"/>
              </w:rPr>
            </w:pPr>
            <w:r w:rsidRPr="00627DA0">
              <w:rPr>
                <w:rFonts w:cs="Calibri Light"/>
                <w:sz w:val="20"/>
                <w:szCs w:val="20"/>
              </w:rPr>
              <w:t>Overwrapper</w:t>
            </w:r>
          </w:p>
        </w:tc>
        <w:tc>
          <w:tcPr>
            <w:tcW w:w="2780" w:type="dxa"/>
          </w:tcPr>
          <w:p w14:paraId="33D307C1" w14:textId="615E0D00" w:rsidR="00931A29" w:rsidRPr="00627DA0" w:rsidRDefault="00931A29" w:rsidP="00460075">
            <w:pPr>
              <w:rPr>
                <w:rFonts w:cs="Calibri Light"/>
                <w:sz w:val="20"/>
                <w:szCs w:val="20"/>
              </w:rPr>
            </w:pPr>
            <w:r w:rsidRPr="00627DA0">
              <w:rPr>
                <w:sz w:val="20"/>
                <w:szCs w:val="20"/>
              </w:rPr>
              <w:t>2021 Power Plan</w:t>
            </w:r>
            <w:r w:rsidR="00230E8C" w:rsidRPr="00627DA0">
              <w:rPr>
                <w:sz w:val="20"/>
                <w:szCs w:val="20"/>
              </w:rPr>
              <w:t>, RTF</w:t>
            </w:r>
          </w:p>
        </w:tc>
      </w:tr>
      <w:tr w:rsidR="00931A29" w:rsidRPr="00627DA0" w14:paraId="38BE1387" w14:textId="77777777" w:rsidTr="00460075">
        <w:tc>
          <w:tcPr>
            <w:tcW w:w="1800" w:type="dxa"/>
            <w:vMerge/>
            <w:tcBorders>
              <w:bottom w:val="single" w:sz="4" w:space="0" w:color="000000" w:themeColor="text1"/>
            </w:tcBorders>
          </w:tcPr>
          <w:p w14:paraId="614C7FC3" w14:textId="77777777" w:rsidR="00931A29" w:rsidRPr="00627DA0" w:rsidRDefault="00931A29" w:rsidP="00460075">
            <w:pPr>
              <w:rPr>
                <w:rFonts w:cs="Calibri Light"/>
                <w:sz w:val="20"/>
                <w:szCs w:val="20"/>
              </w:rPr>
            </w:pPr>
          </w:p>
        </w:tc>
        <w:tc>
          <w:tcPr>
            <w:tcW w:w="4770" w:type="dxa"/>
            <w:tcBorders>
              <w:bottom w:val="single" w:sz="4" w:space="0" w:color="000000" w:themeColor="text1"/>
            </w:tcBorders>
            <w:shd w:val="clear" w:color="auto" w:fill="F2F2F2" w:themeFill="background1" w:themeFillShade="F2"/>
            <w:vAlign w:val="bottom"/>
          </w:tcPr>
          <w:p w14:paraId="4ECE3BD3" w14:textId="77777777" w:rsidR="00931A29" w:rsidRPr="00627DA0" w:rsidRDefault="00931A29" w:rsidP="00460075">
            <w:pPr>
              <w:jc w:val="left"/>
              <w:rPr>
                <w:rFonts w:cs="Calibri Light"/>
                <w:sz w:val="20"/>
                <w:szCs w:val="20"/>
              </w:rPr>
            </w:pPr>
            <w:r w:rsidRPr="00627DA0">
              <w:rPr>
                <w:rFonts w:cs="Calibri Light"/>
                <w:sz w:val="20"/>
                <w:szCs w:val="20"/>
              </w:rPr>
              <w:t>Steamer</w:t>
            </w:r>
          </w:p>
        </w:tc>
        <w:tc>
          <w:tcPr>
            <w:tcW w:w="2780" w:type="dxa"/>
            <w:tcBorders>
              <w:bottom w:val="single" w:sz="4" w:space="0" w:color="000000" w:themeColor="text1"/>
            </w:tcBorders>
            <w:shd w:val="clear" w:color="auto" w:fill="F2F2F2" w:themeFill="background1" w:themeFillShade="F2"/>
          </w:tcPr>
          <w:p w14:paraId="58D9DB47"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61A212C6" w14:textId="77777777" w:rsidTr="00460075">
        <w:tc>
          <w:tcPr>
            <w:tcW w:w="1800" w:type="dxa"/>
            <w:vMerge w:val="restart"/>
            <w:tcBorders>
              <w:top w:val="single" w:sz="4" w:space="0" w:color="000000" w:themeColor="text1"/>
            </w:tcBorders>
          </w:tcPr>
          <w:p w14:paraId="6EFFE89F" w14:textId="77777777" w:rsidR="00931A29" w:rsidRPr="00627DA0" w:rsidRDefault="00931A29" w:rsidP="00460075">
            <w:pPr>
              <w:rPr>
                <w:rFonts w:cs="Calibri Light"/>
                <w:color w:val="000000"/>
                <w:sz w:val="20"/>
                <w:szCs w:val="20"/>
              </w:rPr>
            </w:pPr>
            <w:r w:rsidRPr="00627DA0">
              <w:rPr>
                <w:rFonts w:cs="Calibri Light"/>
                <w:color w:val="000000"/>
                <w:sz w:val="20"/>
                <w:szCs w:val="20"/>
              </w:rPr>
              <w:t>HVAC</w:t>
            </w:r>
          </w:p>
        </w:tc>
        <w:tc>
          <w:tcPr>
            <w:tcW w:w="4770" w:type="dxa"/>
            <w:tcBorders>
              <w:top w:val="single" w:sz="4" w:space="0" w:color="000000" w:themeColor="text1"/>
            </w:tcBorders>
            <w:vAlign w:val="bottom"/>
          </w:tcPr>
          <w:p w14:paraId="6A8C2002" w14:textId="77777777" w:rsidR="00931A29" w:rsidRPr="00627DA0" w:rsidRDefault="00931A29" w:rsidP="00460075">
            <w:pPr>
              <w:jc w:val="left"/>
              <w:rPr>
                <w:rFonts w:cs="Calibri Light"/>
                <w:sz w:val="20"/>
                <w:szCs w:val="20"/>
              </w:rPr>
            </w:pPr>
            <w:r w:rsidRPr="00627DA0">
              <w:rPr>
                <w:rFonts w:cs="Calibri Light"/>
                <w:sz w:val="20"/>
                <w:szCs w:val="20"/>
              </w:rPr>
              <w:t>Advanced Rooftop Controller</w:t>
            </w:r>
          </w:p>
        </w:tc>
        <w:tc>
          <w:tcPr>
            <w:tcW w:w="2780" w:type="dxa"/>
            <w:tcBorders>
              <w:top w:val="single" w:sz="4" w:space="0" w:color="000000" w:themeColor="text1"/>
            </w:tcBorders>
          </w:tcPr>
          <w:p w14:paraId="1CB4DD7F"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04543E9E" w14:textId="77777777" w:rsidTr="00460075">
        <w:tc>
          <w:tcPr>
            <w:tcW w:w="1800" w:type="dxa"/>
            <w:vMerge/>
          </w:tcPr>
          <w:p w14:paraId="21B71444"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0791427C" w14:textId="77777777" w:rsidR="00931A29" w:rsidRPr="00627DA0" w:rsidRDefault="00931A29" w:rsidP="00460075">
            <w:pPr>
              <w:jc w:val="left"/>
              <w:rPr>
                <w:rFonts w:cs="Calibri Light"/>
                <w:sz w:val="20"/>
                <w:szCs w:val="20"/>
              </w:rPr>
            </w:pPr>
            <w:r w:rsidRPr="00627DA0">
              <w:rPr>
                <w:rFonts w:cs="Calibri Light"/>
                <w:sz w:val="20"/>
                <w:szCs w:val="20"/>
              </w:rPr>
              <w:t>Chiller</w:t>
            </w:r>
          </w:p>
        </w:tc>
        <w:tc>
          <w:tcPr>
            <w:tcW w:w="2780" w:type="dxa"/>
            <w:shd w:val="clear" w:color="auto" w:fill="F2F2F2" w:themeFill="background1" w:themeFillShade="F2"/>
          </w:tcPr>
          <w:p w14:paraId="6AB030FD"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22FECAF4" w14:textId="77777777" w:rsidTr="00460075">
        <w:tc>
          <w:tcPr>
            <w:tcW w:w="1800" w:type="dxa"/>
            <w:vMerge/>
          </w:tcPr>
          <w:p w14:paraId="2EF2EBAC" w14:textId="77777777" w:rsidR="00931A29" w:rsidRPr="00627DA0" w:rsidRDefault="00931A29" w:rsidP="00460075">
            <w:pPr>
              <w:rPr>
                <w:rFonts w:cs="Calibri Light"/>
                <w:sz w:val="20"/>
                <w:szCs w:val="20"/>
              </w:rPr>
            </w:pPr>
          </w:p>
        </w:tc>
        <w:tc>
          <w:tcPr>
            <w:tcW w:w="4770" w:type="dxa"/>
            <w:vAlign w:val="bottom"/>
          </w:tcPr>
          <w:p w14:paraId="3847E8C5" w14:textId="77777777" w:rsidR="00931A29" w:rsidRPr="00627DA0" w:rsidRDefault="00931A29" w:rsidP="00460075">
            <w:pPr>
              <w:jc w:val="left"/>
              <w:rPr>
                <w:rFonts w:cs="Calibri Light"/>
                <w:sz w:val="20"/>
                <w:szCs w:val="20"/>
              </w:rPr>
            </w:pPr>
            <w:r w:rsidRPr="00627DA0">
              <w:rPr>
                <w:rFonts w:cs="Calibri Light"/>
                <w:sz w:val="20"/>
                <w:szCs w:val="20"/>
              </w:rPr>
              <w:t>Circulation Pumps</w:t>
            </w:r>
          </w:p>
        </w:tc>
        <w:tc>
          <w:tcPr>
            <w:tcW w:w="2780" w:type="dxa"/>
          </w:tcPr>
          <w:p w14:paraId="39B9ABC1"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3D0778DC" w14:textId="77777777" w:rsidTr="00460075">
        <w:tc>
          <w:tcPr>
            <w:tcW w:w="1800" w:type="dxa"/>
            <w:vMerge/>
          </w:tcPr>
          <w:p w14:paraId="23BCC331"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1B98EC65" w14:textId="77777777" w:rsidR="00931A29" w:rsidRPr="00627DA0" w:rsidRDefault="00931A29" w:rsidP="00460075">
            <w:pPr>
              <w:jc w:val="left"/>
              <w:rPr>
                <w:rFonts w:cs="Calibri Light"/>
                <w:sz w:val="20"/>
                <w:szCs w:val="20"/>
              </w:rPr>
            </w:pPr>
            <w:r w:rsidRPr="00627DA0">
              <w:rPr>
                <w:rFonts w:cs="Calibri Light"/>
                <w:sz w:val="20"/>
                <w:szCs w:val="20"/>
              </w:rPr>
              <w:t>Ductless Heat Pump</w:t>
            </w:r>
          </w:p>
        </w:tc>
        <w:tc>
          <w:tcPr>
            <w:tcW w:w="2780" w:type="dxa"/>
            <w:shd w:val="clear" w:color="auto" w:fill="F2F2F2" w:themeFill="background1" w:themeFillShade="F2"/>
          </w:tcPr>
          <w:p w14:paraId="54B19E01" w14:textId="44131C94" w:rsidR="00931A29" w:rsidRPr="00627DA0" w:rsidRDefault="00931A29" w:rsidP="00460075">
            <w:pPr>
              <w:rPr>
                <w:rFonts w:cs="Calibri Light"/>
                <w:sz w:val="20"/>
                <w:szCs w:val="20"/>
              </w:rPr>
            </w:pPr>
            <w:r w:rsidRPr="00627DA0">
              <w:rPr>
                <w:sz w:val="20"/>
                <w:szCs w:val="20"/>
              </w:rPr>
              <w:t>2021 Power Plan</w:t>
            </w:r>
            <w:r w:rsidR="00151A77" w:rsidRPr="00627DA0">
              <w:rPr>
                <w:sz w:val="20"/>
                <w:szCs w:val="20"/>
              </w:rPr>
              <w:t>, DHP</w:t>
            </w:r>
          </w:p>
        </w:tc>
      </w:tr>
      <w:tr w:rsidR="00931A29" w:rsidRPr="00627DA0" w14:paraId="206F2608" w14:textId="77777777" w:rsidTr="00460075">
        <w:tc>
          <w:tcPr>
            <w:tcW w:w="1800" w:type="dxa"/>
            <w:vMerge/>
          </w:tcPr>
          <w:p w14:paraId="62B46A5C" w14:textId="77777777" w:rsidR="00931A29" w:rsidRPr="00627DA0" w:rsidRDefault="00931A29" w:rsidP="00460075">
            <w:pPr>
              <w:rPr>
                <w:rFonts w:cs="Calibri Light"/>
                <w:sz w:val="20"/>
                <w:szCs w:val="20"/>
              </w:rPr>
            </w:pPr>
          </w:p>
        </w:tc>
        <w:tc>
          <w:tcPr>
            <w:tcW w:w="4770" w:type="dxa"/>
            <w:vAlign w:val="bottom"/>
          </w:tcPr>
          <w:p w14:paraId="3E612E7A" w14:textId="77777777" w:rsidR="00931A29" w:rsidRPr="00627DA0" w:rsidRDefault="00931A29" w:rsidP="00460075">
            <w:pPr>
              <w:jc w:val="left"/>
              <w:rPr>
                <w:rFonts w:cs="Calibri Light"/>
                <w:sz w:val="20"/>
                <w:szCs w:val="20"/>
              </w:rPr>
            </w:pPr>
            <w:r w:rsidRPr="00627DA0">
              <w:rPr>
                <w:rFonts w:cs="Calibri Light"/>
                <w:sz w:val="20"/>
                <w:szCs w:val="20"/>
              </w:rPr>
              <w:t>Energy Management</w:t>
            </w:r>
          </w:p>
        </w:tc>
        <w:tc>
          <w:tcPr>
            <w:tcW w:w="2780" w:type="dxa"/>
          </w:tcPr>
          <w:p w14:paraId="3140DD1B"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145D6ECA" w14:textId="77777777" w:rsidTr="00460075">
        <w:tc>
          <w:tcPr>
            <w:tcW w:w="1800" w:type="dxa"/>
            <w:vMerge/>
          </w:tcPr>
          <w:p w14:paraId="6312D6D9"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64C929C8" w14:textId="77777777" w:rsidR="00931A29" w:rsidRPr="00627DA0" w:rsidRDefault="00931A29" w:rsidP="00460075">
            <w:pPr>
              <w:jc w:val="left"/>
              <w:rPr>
                <w:rFonts w:cs="Calibri Light"/>
                <w:sz w:val="20"/>
                <w:szCs w:val="20"/>
              </w:rPr>
            </w:pPr>
            <w:r w:rsidRPr="00627DA0">
              <w:rPr>
                <w:rFonts w:cs="Calibri Light"/>
                <w:sz w:val="20"/>
                <w:szCs w:val="20"/>
              </w:rPr>
              <w:t>Fans</w:t>
            </w:r>
          </w:p>
        </w:tc>
        <w:tc>
          <w:tcPr>
            <w:tcW w:w="2780" w:type="dxa"/>
            <w:shd w:val="clear" w:color="auto" w:fill="F2F2F2" w:themeFill="background1" w:themeFillShade="F2"/>
          </w:tcPr>
          <w:p w14:paraId="1454CD87"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034DF014" w14:textId="77777777" w:rsidTr="00460075">
        <w:tc>
          <w:tcPr>
            <w:tcW w:w="1800" w:type="dxa"/>
            <w:vMerge/>
          </w:tcPr>
          <w:p w14:paraId="5F6FFE71" w14:textId="77777777" w:rsidR="00931A29" w:rsidRPr="00627DA0" w:rsidRDefault="00931A29" w:rsidP="00460075">
            <w:pPr>
              <w:rPr>
                <w:rFonts w:cs="Calibri Light"/>
                <w:sz w:val="20"/>
                <w:szCs w:val="20"/>
              </w:rPr>
            </w:pPr>
          </w:p>
        </w:tc>
        <w:tc>
          <w:tcPr>
            <w:tcW w:w="4770" w:type="dxa"/>
            <w:vAlign w:val="bottom"/>
          </w:tcPr>
          <w:p w14:paraId="668124B1" w14:textId="77777777" w:rsidR="00931A29" w:rsidRPr="00627DA0" w:rsidRDefault="00931A29" w:rsidP="00460075">
            <w:pPr>
              <w:jc w:val="left"/>
              <w:rPr>
                <w:rFonts w:cs="Calibri Light"/>
                <w:sz w:val="20"/>
                <w:szCs w:val="20"/>
              </w:rPr>
            </w:pPr>
            <w:r w:rsidRPr="00627DA0">
              <w:rPr>
                <w:rFonts w:cs="Calibri Light"/>
                <w:sz w:val="20"/>
                <w:szCs w:val="20"/>
              </w:rPr>
              <w:t>Heat Pumps</w:t>
            </w:r>
          </w:p>
        </w:tc>
        <w:tc>
          <w:tcPr>
            <w:tcW w:w="2780" w:type="dxa"/>
          </w:tcPr>
          <w:p w14:paraId="03698CDF"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6303A1C1" w14:textId="77777777" w:rsidTr="00460075">
        <w:tc>
          <w:tcPr>
            <w:tcW w:w="1800" w:type="dxa"/>
            <w:vMerge/>
          </w:tcPr>
          <w:p w14:paraId="5FFFD10F"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74040337" w14:textId="77777777" w:rsidR="00931A29" w:rsidRPr="00627DA0" w:rsidRDefault="00931A29" w:rsidP="00460075">
            <w:pPr>
              <w:jc w:val="left"/>
              <w:rPr>
                <w:rFonts w:cs="Calibri Light"/>
                <w:sz w:val="20"/>
                <w:szCs w:val="20"/>
              </w:rPr>
            </w:pPr>
            <w:r w:rsidRPr="00627DA0">
              <w:rPr>
                <w:rFonts w:cs="Calibri Light"/>
                <w:sz w:val="20"/>
                <w:szCs w:val="20"/>
              </w:rPr>
              <w:t>Package Terminal Heat Pumps</w:t>
            </w:r>
          </w:p>
        </w:tc>
        <w:tc>
          <w:tcPr>
            <w:tcW w:w="2780" w:type="dxa"/>
            <w:shd w:val="clear" w:color="auto" w:fill="F2F2F2" w:themeFill="background1" w:themeFillShade="F2"/>
          </w:tcPr>
          <w:p w14:paraId="58FC52DC" w14:textId="79BE4C60" w:rsidR="00931A29" w:rsidRPr="00627DA0" w:rsidRDefault="00931A29" w:rsidP="00460075">
            <w:pPr>
              <w:rPr>
                <w:rFonts w:cs="Calibri Light"/>
                <w:sz w:val="20"/>
                <w:szCs w:val="20"/>
              </w:rPr>
            </w:pPr>
            <w:r w:rsidRPr="00627DA0">
              <w:rPr>
                <w:sz w:val="20"/>
                <w:szCs w:val="20"/>
              </w:rPr>
              <w:t>2021 Power Plan</w:t>
            </w:r>
            <w:r w:rsidR="004A5F37" w:rsidRPr="00627DA0">
              <w:rPr>
                <w:sz w:val="20"/>
                <w:szCs w:val="20"/>
              </w:rPr>
              <w:t>, RTF</w:t>
            </w:r>
          </w:p>
        </w:tc>
      </w:tr>
      <w:tr w:rsidR="00931A29" w:rsidRPr="00627DA0" w14:paraId="1E153B6B" w14:textId="77777777" w:rsidTr="00460075">
        <w:tc>
          <w:tcPr>
            <w:tcW w:w="1800" w:type="dxa"/>
            <w:vMerge/>
          </w:tcPr>
          <w:p w14:paraId="1D614F2B" w14:textId="77777777" w:rsidR="00931A29" w:rsidRPr="00627DA0" w:rsidRDefault="00931A29" w:rsidP="00460075">
            <w:pPr>
              <w:rPr>
                <w:rFonts w:cs="Calibri Light"/>
                <w:sz w:val="20"/>
                <w:szCs w:val="20"/>
              </w:rPr>
            </w:pPr>
          </w:p>
        </w:tc>
        <w:tc>
          <w:tcPr>
            <w:tcW w:w="4770" w:type="dxa"/>
            <w:vAlign w:val="bottom"/>
          </w:tcPr>
          <w:p w14:paraId="3926E73C" w14:textId="77777777" w:rsidR="00931A29" w:rsidRPr="00627DA0" w:rsidRDefault="00931A29" w:rsidP="00460075">
            <w:pPr>
              <w:jc w:val="left"/>
              <w:rPr>
                <w:rFonts w:cs="Calibri Light"/>
                <w:sz w:val="20"/>
                <w:szCs w:val="20"/>
              </w:rPr>
            </w:pPr>
            <w:r w:rsidRPr="00627DA0">
              <w:rPr>
                <w:rFonts w:cs="Calibri Light"/>
                <w:sz w:val="20"/>
                <w:szCs w:val="20"/>
              </w:rPr>
              <w:t>Pumps</w:t>
            </w:r>
          </w:p>
        </w:tc>
        <w:tc>
          <w:tcPr>
            <w:tcW w:w="2780" w:type="dxa"/>
          </w:tcPr>
          <w:p w14:paraId="2481AEA2"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1F8F11E4" w14:textId="77777777" w:rsidTr="00460075">
        <w:tc>
          <w:tcPr>
            <w:tcW w:w="1800" w:type="dxa"/>
            <w:vMerge/>
          </w:tcPr>
          <w:p w14:paraId="2F95450C"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0C86BAA6" w14:textId="77777777" w:rsidR="00931A29" w:rsidRPr="00627DA0" w:rsidRDefault="00931A29" w:rsidP="00460075">
            <w:pPr>
              <w:jc w:val="left"/>
              <w:rPr>
                <w:rFonts w:cs="Calibri Light"/>
                <w:sz w:val="20"/>
                <w:szCs w:val="20"/>
              </w:rPr>
            </w:pPr>
            <w:r w:rsidRPr="00627DA0">
              <w:rPr>
                <w:rFonts w:cs="Calibri Light"/>
                <w:sz w:val="20"/>
                <w:szCs w:val="20"/>
              </w:rPr>
              <w:t>Smart Thermostats</w:t>
            </w:r>
          </w:p>
        </w:tc>
        <w:tc>
          <w:tcPr>
            <w:tcW w:w="2780" w:type="dxa"/>
            <w:shd w:val="clear" w:color="auto" w:fill="F2F2F2" w:themeFill="background1" w:themeFillShade="F2"/>
          </w:tcPr>
          <w:p w14:paraId="27B32B41"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490DE355" w14:textId="77777777" w:rsidTr="00460075">
        <w:tc>
          <w:tcPr>
            <w:tcW w:w="1800" w:type="dxa"/>
            <w:vMerge/>
          </w:tcPr>
          <w:p w14:paraId="4EAE10EC" w14:textId="77777777" w:rsidR="00931A29" w:rsidRPr="00627DA0" w:rsidRDefault="00931A29" w:rsidP="00460075">
            <w:pPr>
              <w:rPr>
                <w:rFonts w:cs="Calibri Light"/>
                <w:sz w:val="20"/>
                <w:szCs w:val="20"/>
              </w:rPr>
            </w:pPr>
          </w:p>
        </w:tc>
        <w:tc>
          <w:tcPr>
            <w:tcW w:w="4770" w:type="dxa"/>
            <w:vAlign w:val="bottom"/>
          </w:tcPr>
          <w:p w14:paraId="06CC1750" w14:textId="77777777" w:rsidR="00931A29" w:rsidRPr="00627DA0" w:rsidRDefault="00931A29" w:rsidP="00460075">
            <w:pPr>
              <w:jc w:val="left"/>
              <w:rPr>
                <w:rFonts w:cs="Calibri Light"/>
                <w:sz w:val="20"/>
                <w:szCs w:val="20"/>
              </w:rPr>
            </w:pPr>
            <w:r w:rsidRPr="00627DA0">
              <w:rPr>
                <w:rFonts w:cs="Calibri Light"/>
                <w:sz w:val="20"/>
                <w:szCs w:val="20"/>
              </w:rPr>
              <w:t>Unitary Air Conditioners</w:t>
            </w:r>
          </w:p>
        </w:tc>
        <w:tc>
          <w:tcPr>
            <w:tcW w:w="2780" w:type="dxa"/>
          </w:tcPr>
          <w:p w14:paraId="5EA708EA"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264BD60A" w14:textId="77777777" w:rsidTr="00460075">
        <w:tc>
          <w:tcPr>
            <w:tcW w:w="1800" w:type="dxa"/>
            <w:vMerge/>
          </w:tcPr>
          <w:p w14:paraId="34D7040E"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37C34E33" w14:textId="77777777" w:rsidR="00931A29" w:rsidRPr="00627DA0" w:rsidRDefault="00931A29" w:rsidP="00460075">
            <w:pPr>
              <w:jc w:val="left"/>
              <w:rPr>
                <w:rFonts w:cs="Calibri Light"/>
                <w:sz w:val="20"/>
                <w:szCs w:val="20"/>
              </w:rPr>
            </w:pPr>
            <w:r w:rsidRPr="00627DA0">
              <w:rPr>
                <w:rFonts w:cs="Calibri Light"/>
                <w:sz w:val="20"/>
                <w:szCs w:val="20"/>
              </w:rPr>
              <w:t>Very High Efficiency Dedicated Outside Air System</w:t>
            </w:r>
          </w:p>
        </w:tc>
        <w:tc>
          <w:tcPr>
            <w:tcW w:w="2780" w:type="dxa"/>
            <w:shd w:val="clear" w:color="auto" w:fill="F2F2F2" w:themeFill="background1" w:themeFillShade="F2"/>
          </w:tcPr>
          <w:p w14:paraId="5A9BCE72"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0DE9F26C" w14:textId="77777777" w:rsidTr="00460075">
        <w:tc>
          <w:tcPr>
            <w:tcW w:w="1800" w:type="dxa"/>
            <w:vMerge/>
          </w:tcPr>
          <w:p w14:paraId="465F0351" w14:textId="77777777" w:rsidR="00931A29" w:rsidRPr="00627DA0" w:rsidRDefault="00931A29" w:rsidP="00460075">
            <w:pPr>
              <w:rPr>
                <w:rFonts w:cs="Calibri Light"/>
                <w:sz w:val="20"/>
                <w:szCs w:val="20"/>
              </w:rPr>
            </w:pPr>
          </w:p>
        </w:tc>
        <w:tc>
          <w:tcPr>
            <w:tcW w:w="4770" w:type="dxa"/>
            <w:vAlign w:val="bottom"/>
          </w:tcPr>
          <w:p w14:paraId="460F116B" w14:textId="77777777" w:rsidR="00931A29" w:rsidRPr="00627DA0" w:rsidRDefault="00931A29" w:rsidP="00460075">
            <w:pPr>
              <w:jc w:val="left"/>
              <w:rPr>
                <w:rFonts w:cs="Calibri Light"/>
                <w:sz w:val="20"/>
                <w:szCs w:val="20"/>
              </w:rPr>
            </w:pPr>
            <w:r w:rsidRPr="00627DA0">
              <w:rPr>
                <w:rFonts w:cs="Calibri Light"/>
                <w:sz w:val="20"/>
                <w:szCs w:val="20"/>
              </w:rPr>
              <w:t>Variable Refrigerant Flow Dedicated Outside Air System</w:t>
            </w:r>
          </w:p>
        </w:tc>
        <w:tc>
          <w:tcPr>
            <w:tcW w:w="2780" w:type="dxa"/>
          </w:tcPr>
          <w:p w14:paraId="4B1C0B4A"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3602BD05" w14:textId="77777777" w:rsidTr="00460075">
        <w:tc>
          <w:tcPr>
            <w:tcW w:w="1800" w:type="dxa"/>
            <w:vMerge/>
            <w:tcBorders>
              <w:bottom w:val="single" w:sz="4" w:space="0" w:color="000000" w:themeColor="text1"/>
            </w:tcBorders>
          </w:tcPr>
          <w:p w14:paraId="6305D939" w14:textId="77777777" w:rsidR="00931A29" w:rsidRPr="00627DA0" w:rsidRDefault="00931A29" w:rsidP="00460075">
            <w:pPr>
              <w:rPr>
                <w:rFonts w:cs="Calibri Light"/>
                <w:sz w:val="20"/>
                <w:szCs w:val="20"/>
              </w:rPr>
            </w:pPr>
          </w:p>
        </w:tc>
        <w:tc>
          <w:tcPr>
            <w:tcW w:w="4770" w:type="dxa"/>
            <w:tcBorders>
              <w:bottom w:val="single" w:sz="4" w:space="0" w:color="000000" w:themeColor="text1"/>
            </w:tcBorders>
            <w:shd w:val="clear" w:color="auto" w:fill="F2F2F2" w:themeFill="background1" w:themeFillShade="F2"/>
            <w:vAlign w:val="bottom"/>
          </w:tcPr>
          <w:p w14:paraId="726B3E30" w14:textId="77777777" w:rsidR="00931A29" w:rsidRPr="00627DA0" w:rsidRDefault="00931A29" w:rsidP="00460075">
            <w:pPr>
              <w:jc w:val="left"/>
              <w:rPr>
                <w:rFonts w:cs="Calibri Light"/>
                <w:sz w:val="20"/>
                <w:szCs w:val="20"/>
              </w:rPr>
            </w:pPr>
            <w:r w:rsidRPr="00627DA0">
              <w:rPr>
                <w:rFonts w:cs="Calibri Light"/>
                <w:sz w:val="20"/>
                <w:szCs w:val="20"/>
              </w:rPr>
              <w:t>Windows</w:t>
            </w:r>
          </w:p>
        </w:tc>
        <w:tc>
          <w:tcPr>
            <w:tcW w:w="2780" w:type="dxa"/>
            <w:tcBorders>
              <w:bottom w:val="single" w:sz="4" w:space="0" w:color="000000" w:themeColor="text1"/>
            </w:tcBorders>
            <w:shd w:val="clear" w:color="auto" w:fill="F2F2F2" w:themeFill="background1" w:themeFillShade="F2"/>
          </w:tcPr>
          <w:p w14:paraId="173DB984" w14:textId="4EBB782A" w:rsidR="00931A29" w:rsidRPr="00627DA0" w:rsidRDefault="00931A29" w:rsidP="00460075">
            <w:pPr>
              <w:rPr>
                <w:rFonts w:cs="Calibri Light"/>
                <w:sz w:val="20"/>
                <w:szCs w:val="20"/>
              </w:rPr>
            </w:pPr>
            <w:r w:rsidRPr="00627DA0">
              <w:rPr>
                <w:sz w:val="20"/>
                <w:szCs w:val="20"/>
              </w:rPr>
              <w:t>2021 Power Plan</w:t>
            </w:r>
            <w:r w:rsidR="00B3320A" w:rsidRPr="00627DA0">
              <w:rPr>
                <w:sz w:val="20"/>
                <w:szCs w:val="20"/>
              </w:rPr>
              <w:t>, RTF</w:t>
            </w:r>
          </w:p>
        </w:tc>
      </w:tr>
      <w:tr w:rsidR="00931A29" w:rsidRPr="00627DA0" w14:paraId="3BCFF07F" w14:textId="77777777" w:rsidTr="00460075">
        <w:tc>
          <w:tcPr>
            <w:tcW w:w="1800" w:type="dxa"/>
            <w:vMerge w:val="restart"/>
            <w:tcBorders>
              <w:top w:val="single" w:sz="4" w:space="0" w:color="000000" w:themeColor="text1"/>
            </w:tcBorders>
          </w:tcPr>
          <w:p w14:paraId="221A27E8" w14:textId="77777777" w:rsidR="00931A29" w:rsidRPr="00627DA0" w:rsidRDefault="00931A29" w:rsidP="00460075">
            <w:pPr>
              <w:rPr>
                <w:rFonts w:cs="Calibri Light"/>
                <w:sz w:val="20"/>
                <w:szCs w:val="20"/>
              </w:rPr>
            </w:pPr>
            <w:r w:rsidRPr="00627DA0">
              <w:rPr>
                <w:rFonts w:cs="Calibri Light"/>
                <w:sz w:val="20"/>
                <w:szCs w:val="20"/>
              </w:rPr>
              <w:t>Lighting</w:t>
            </w:r>
          </w:p>
        </w:tc>
        <w:tc>
          <w:tcPr>
            <w:tcW w:w="4770" w:type="dxa"/>
            <w:tcBorders>
              <w:top w:val="single" w:sz="4" w:space="0" w:color="000000" w:themeColor="text1"/>
            </w:tcBorders>
          </w:tcPr>
          <w:p w14:paraId="6079C6DF" w14:textId="77777777" w:rsidR="00931A29" w:rsidRPr="00627DA0" w:rsidRDefault="00931A29" w:rsidP="00460075">
            <w:pPr>
              <w:jc w:val="left"/>
              <w:rPr>
                <w:rFonts w:cs="Calibri Light"/>
                <w:sz w:val="20"/>
                <w:szCs w:val="20"/>
              </w:rPr>
            </w:pPr>
            <w:r w:rsidRPr="00627DA0">
              <w:rPr>
                <w:rFonts w:cs="Calibri Light"/>
                <w:sz w:val="20"/>
                <w:szCs w:val="20"/>
              </w:rPr>
              <w:t>Exit Signs</w:t>
            </w:r>
          </w:p>
        </w:tc>
        <w:tc>
          <w:tcPr>
            <w:tcW w:w="2780" w:type="dxa"/>
            <w:tcBorders>
              <w:top w:val="single" w:sz="4" w:space="0" w:color="000000" w:themeColor="text1"/>
            </w:tcBorders>
          </w:tcPr>
          <w:p w14:paraId="3ACF3FD0"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4FCD57A3" w14:textId="77777777" w:rsidTr="00460075">
        <w:tc>
          <w:tcPr>
            <w:tcW w:w="1800" w:type="dxa"/>
            <w:vMerge/>
          </w:tcPr>
          <w:p w14:paraId="3349FB20" w14:textId="77777777" w:rsidR="00931A29" w:rsidRPr="00627DA0" w:rsidRDefault="00931A29" w:rsidP="00460075">
            <w:pPr>
              <w:rPr>
                <w:rFonts w:cs="Calibri Light"/>
                <w:sz w:val="20"/>
                <w:szCs w:val="20"/>
              </w:rPr>
            </w:pPr>
          </w:p>
        </w:tc>
        <w:tc>
          <w:tcPr>
            <w:tcW w:w="4770" w:type="dxa"/>
            <w:shd w:val="clear" w:color="auto" w:fill="F2F2F2" w:themeFill="background1" w:themeFillShade="F2"/>
          </w:tcPr>
          <w:p w14:paraId="3833BCF0" w14:textId="77777777" w:rsidR="00931A29" w:rsidRPr="00627DA0" w:rsidRDefault="00931A29" w:rsidP="00460075">
            <w:pPr>
              <w:jc w:val="left"/>
              <w:rPr>
                <w:rFonts w:cs="Calibri Light"/>
                <w:sz w:val="20"/>
                <w:szCs w:val="20"/>
              </w:rPr>
            </w:pPr>
            <w:r w:rsidRPr="00627DA0">
              <w:rPr>
                <w:rFonts w:cs="Calibri Light"/>
                <w:sz w:val="20"/>
                <w:szCs w:val="20"/>
              </w:rPr>
              <w:t>Exterior Lighting</w:t>
            </w:r>
          </w:p>
        </w:tc>
        <w:tc>
          <w:tcPr>
            <w:tcW w:w="2780" w:type="dxa"/>
            <w:shd w:val="clear" w:color="auto" w:fill="F2F2F2" w:themeFill="background1" w:themeFillShade="F2"/>
          </w:tcPr>
          <w:p w14:paraId="33E41383"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03E2C75F" w14:textId="77777777" w:rsidTr="00460075">
        <w:tc>
          <w:tcPr>
            <w:tcW w:w="1800" w:type="dxa"/>
            <w:vMerge/>
          </w:tcPr>
          <w:p w14:paraId="13A7FA42" w14:textId="77777777" w:rsidR="00931A29" w:rsidRPr="00627DA0" w:rsidRDefault="00931A29" w:rsidP="00460075">
            <w:pPr>
              <w:rPr>
                <w:rFonts w:cs="Calibri Light"/>
                <w:sz w:val="20"/>
                <w:szCs w:val="20"/>
              </w:rPr>
            </w:pPr>
          </w:p>
        </w:tc>
        <w:tc>
          <w:tcPr>
            <w:tcW w:w="4770" w:type="dxa"/>
          </w:tcPr>
          <w:p w14:paraId="2E387AFD" w14:textId="77777777" w:rsidR="00931A29" w:rsidRPr="00627DA0" w:rsidRDefault="00931A29" w:rsidP="00460075">
            <w:pPr>
              <w:jc w:val="left"/>
              <w:rPr>
                <w:rFonts w:cs="Calibri Light"/>
                <w:sz w:val="20"/>
                <w:szCs w:val="20"/>
              </w:rPr>
            </w:pPr>
            <w:r w:rsidRPr="00627DA0">
              <w:rPr>
                <w:rFonts w:cs="Calibri Light"/>
                <w:sz w:val="20"/>
                <w:szCs w:val="20"/>
              </w:rPr>
              <w:t>Garage Lighting</w:t>
            </w:r>
          </w:p>
        </w:tc>
        <w:tc>
          <w:tcPr>
            <w:tcW w:w="2780" w:type="dxa"/>
          </w:tcPr>
          <w:p w14:paraId="47D2FA8D"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3F3F38B8" w14:textId="77777777" w:rsidTr="00460075">
        <w:tc>
          <w:tcPr>
            <w:tcW w:w="1800" w:type="dxa"/>
            <w:vMerge/>
          </w:tcPr>
          <w:p w14:paraId="2E073A51" w14:textId="77777777" w:rsidR="00931A29" w:rsidRPr="00627DA0" w:rsidRDefault="00931A29" w:rsidP="00460075">
            <w:pPr>
              <w:rPr>
                <w:rFonts w:cs="Calibri Light"/>
                <w:sz w:val="20"/>
                <w:szCs w:val="20"/>
              </w:rPr>
            </w:pPr>
          </w:p>
        </w:tc>
        <w:tc>
          <w:tcPr>
            <w:tcW w:w="4770" w:type="dxa"/>
            <w:shd w:val="clear" w:color="auto" w:fill="F2F2F2" w:themeFill="background1" w:themeFillShade="F2"/>
          </w:tcPr>
          <w:p w14:paraId="6654EEBE" w14:textId="77777777" w:rsidR="00931A29" w:rsidRPr="00627DA0" w:rsidRDefault="00931A29" w:rsidP="00460075">
            <w:pPr>
              <w:jc w:val="left"/>
              <w:rPr>
                <w:rFonts w:cs="Calibri Light"/>
                <w:sz w:val="20"/>
                <w:szCs w:val="20"/>
              </w:rPr>
            </w:pPr>
            <w:r w:rsidRPr="00627DA0">
              <w:rPr>
                <w:rFonts w:cs="Calibri Light"/>
                <w:sz w:val="20"/>
                <w:szCs w:val="20"/>
              </w:rPr>
              <w:t>Interior Lighting</w:t>
            </w:r>
          </w:p>
        </w:tc>
        <w:tc>
          <w:tcPr>
            <w:tcW w:w="2780" w:type="dxa"/>
            <w:shd w:val="clear" w:color="auto" w:fill="F2F2F2" w:themeFill="background1" w:themeFillShade="F2"/>
          </w:tcPr>
          <w:p w14:paraId="6357ED80"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3BB1E2B9" w14:textId="77777777" w:rsidTr="00460075">
        <w:tc>
          <w:tcPr>
            <w:tcW w:w="1800" w:type="dxa"/>
            <w:vMerge/>
          </w:tcPr>
          <w:p w14:paraId="776FAFED" w14:textId="77777777" w:rsidR="00931A29" w:rsidRPr="00627DA0" w:rsidRDefault="00931A29" w:rsidP="00460075">
            <w:pPr>
              <w:rPr>
                <w:rFonts w:cs="Calibri Light"/>
                <w:sz w:val="20"/>
                <w:szCs w:val="20"/>
              </w:rPr>
            </w:pPr>
          </w:p>
        </w:tc>
        <w:tc>
          <w:tcPr>
            <w:tcW w:w="4770" w:type="dxa"/>
          </w:tcPr>
          <w:p w14:paraId="12BD0313" w14:textId="77777777" w:rsidR="00931A29" w:rsidRPr="00627DA0" w:rsidRDefault="00931A29" w:rsidP="00460075">
            <w:pPr>
              <w:jc w:val="left"/>
              <w:rPr>
                <w:rFonts w:cs="Calibri Light"/>
                <w:sz w:val="20"/>
                <w:szCs w:val="20"/>
              </w:rPr>
            </w:pPr>
            <w:r w:rsidRPr="00627DA0">
              <w:rPr>
                <w:rFonts w:cs="Calibri Light"/>
                <w:sz w:val="20"/>
                <w:szCs w:val="20"/>
              </w:rPr>
              <w:t>Stairwell Lighting</w:t>
            </w:r>
          </w:p>
        </w:tc>
        <w:tc>
          <w:tcPr>
            <w:tcW w:w="2780" w:type="dxa"/>
          </w:tcPr>
          <w:p w14:paraId="782B99A2"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12BD77F9" w14:textId="77777777" w:rsidTr="00460075">
        <w:tc>
          <w:tcPr>
            <w:tcW w:w="1800" w:type="dxa"/>
            <w:vMerge/>
          </w:tcPr>
          <w:p w14:paraId="3253AB40" w14:textId="77777777" w:rsidR="00931A29" w:rsidRPr="00627DA0" w:rsidRDefault="00931A29" w:rsidP="00460075">
            <w:pPr>
              <w:rPr>
                <w:rFonts w:cs="Calibri Light"/>
                <w:sz w:val="20"/>
                <w:szCs w:val="20"/>
              </w:rPr>
            </w:pPr>
          </w:p>
        </w:tc>
        <w:tc>
          <w:tcPr>
            <w:tcW w:w="4770" w:type="dxa"/>
            <w:shd w:val="clear" w:color="auto" w:fill="F2F2F2" w:themeFill="background1" w:themeFillShade="F2"/>
          </w:tcPr>
          <w:p w14:paraId="4EDD7A22" w14:textId="77777777" w:rsidR="00931A29" w:rsidRPr="00627DA0" w:rsidRDefault="00931A29" w:rsidP="00460075">
            <w:pPr>
              <w:jc w:val="left"/>
              <w:rPr>
                <w:rFonts w:cs="Calibri Light"/>
                <w:sz w:val="20"/>
                <w:szCs w:val="20"/>
              </w:rPr>
            </w:pPr>
            <w:r w:rsidRPr="00627DA0">
              <w:rPr>
                <w:rFonts w:cs="Calibri Light"/>
                <w:sz w:val="20"/>
                <w:szCs w:val="20"/>
              </w:rPr>
              <w:t>Streetlights</w:t>
            </w:r>
          </w:p>
        </w:tc>
        <w:tc>
          <w:tcPr>
            <w:tcW w:w="2780" w:type="dxa"/>
            <w:shd w:val="clear" w:color="auto" w:fill="F2F2F2" w:themeFill="background1" w:themeFillShade="F2"/>
          </w:tcPr>
          <w:p w14:paraId="21A359EC"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35BBDD3D" w14:textId="77777777" w:rsidTr="00460075">
        <w:tc>
          <w:tcPr>
            <w:tcW w:w="1800" w:type="dxa"/>
            <w:tcBorders>
              <w:top w:val="single" w:sz="4" w:space="0" w:color="000000" w:themeColor="text1"/>
            </w:tcBorders>
          </w:tcPr>
          <w:p w14:paraId="09B038A4" w14:textId="77777777" w:rsidR="00931A29" w:rsidRPr="00627DA0" w:rsidRDefault="00931A29" w:rsidP="00460075">
            <w:pPr>
              <w:rPr>
                <w:rFonts w:cs="Calibri Light"/>
                <w:sz w:val="20"/>
                <w:szCs w:val="20"/>
              </w:rPr>
            </w:pPr>
            <w:r w:rsidRPr="00627DA0">
              <w:rPr>
                <w:rFonts w:cs="Calibri Light"/>
                <w:sz w:val="20"/>
                <w:szCs w:val="20"/>
              </w:rPr>
              <w:t>Motors &amp; Drives</w:t>
            </w:r>
          </w:p>
        </w:tc>
        <w:tc>
          <w:tcPr>
            <w:tcW w:w="4770" w:type="dxa"/>
            <w:tcBorders>
              <w:top w:val="single" w:sz="4" w:space="0" w:color="000000" w:themeColor="text1"/>
              <w:bottom w:val="single" w:sz="4" w:space="0" w:color="auto"/>
            </w:tcBorders>
            <w:vAlign w:val="bottom"/>
          </w:tcPr>
          <w:p w14:paraId="4879B35C" w14:textId="77777777" w:rsidR="00931A29" w:rsidRPr="00627DA0" w:rsidRDefault="00931A29" w:rsidP="00460075">
            <w:pPr>
              <w:jc w:val="left"/>
              <w:rPr>
                <w:rFonts w:cs="Calibri Light"/>
                <w:sz w:val="20"/>
                <w:szCs w:val="20"/>
              </w:rPr>
            </w:pPr>
            <w:r w:rsidRPr="00627DA0">
              <w:rPr>
                <w:rFonts w:cs="Calibri Light"/>
                <w:sz w:val="20"/>
                <w:szCs w:val="20"/>
              </w:rPr>
              <w:t>Pumps</w:t>
            </w:r>
          </w:p>
        </w:tc>
        <w:tc>
          <w:tcPr>
            <w:tcW w:w="2780" w:type="dxa"/>
            <w:tcBorders>
              <w:top w:val="single" w:sz="4" w:space="0" w:color="000000" w:themeColor="text1"/>
            </w:tcBorders>
          </w:tcPr>
          <w:p w14:paraId="7FE2AAB5"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262C717A" w14:textId="77777777" w:rsidTr="00460075">
        <w:tc>
          <w:tcPr>
            <w:tcW w:w="1800" w:type="dxa"/>
            <w:tcBorders>
              <w:top w:val="single" w:sz="4" w:space="0" w:color="000000" w:themeColor="text1"/>
            </w:tcBorders>
          </w:tcPr>
          <w:p w14:paraId="03232DD4" w14:textId="77777777" w:rsidR="00931A29" w:rsidRPr="00627DA0" w:rsidRDefault="00931A29" w:rsidP="00460075">
            <w:pPr>
              <w:rPr>
                <w:rFonts w:cs="Calibri Light"/>
                <w:sz w:val="20"/>
                <w:szCs w:val="20"/>
              </w:rPr>
            </w:pPr>
            <w:r w:rsidRPr="00627DA0">
              <w:rPr>
                <w:rFonts w:cs="Calibri Light"/>
                <w:sz w:val="20"/>
                <w:szCs w:val="20"/>
              </w:rPr>
              <w:t>Process Loads</w:t>
            </w:r>
          </w:p>
        </w:tc>
        <w:tc>
          <w:tcPr>
            <w:tcW w:w="4770" w:type="dxa"/>
            <w:tcBorders>
              <w:top w:val="single" w:sz="4" w:space="0" w:color="auto"/>
            </w:tcBorders>
            <w:shd w:val="clear" w:color="auto" w:fill="F2F2F2" w:themeFill="background1" w:themeFillShade="F2"/>
            <w:vAlign w:val="bottom"/>
          </w:tcPr>
          <w:p w14:paraId="77A1C81F" w14:textId="77777777" w:rsidR="00931A29" w:rsidRPr="00627DA0" w:rsidRDefault="00931A29" w:rsidP="00460075">
            <w:pPr>
              <w:jc w:val="left"/>
              <w:rPr>
                <w:rFonts w:cs="Calibri Light"/>
                <w:sz w:val="20"/>
                <w:szCs w:val="20"/>
              </w:rPr>
            </w:pPr>
            <w:r w:rsidRPr="00627DA0">
              <w:rPr>
                <w:rFonts w:cs="Calibri Light"/>
                <w:sz w:val="20"/>
                <w:szCs w:val="20"/>
              </w:rPr>
              <w:t>Elevators</w:t>
            </w:r>
          </w:p>
        </w:tc>
        <w:tc>
          <w:tcPr>
            <w:tcW w:w="2780" w:type="dxa"/>
            <w:tcBorders>
              <w:top w:val="single" w:sz="4" w:space="0" w:color="000000" w:themeColor="text1"/>
            </w:tcBorders>
            <w:shd w:val="clear" w:color="auto" w:fill="F2F2F2" w:themeFill="background1" w:themeFillShade="F2"/>
          </w:tcPr>
          <w:p w14:paraId="1487509E"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6D0D5086" w14:textId="77777777" w:rsidTr="00460075">
        <w:tc>
          <w:tcPr>
            <w:tcW w:w="1800" w:type="dxa"/>
            <w:tcBorders>
              <w:bottom w:val="single" w:sz="4" w:space="0" w:color="000000" w:themeColor="text1"/>
            </w:tcBorders>
          </w:tcPr>
          <w:p w14:paraId="120A1204" w14:textId="77777777" w:rsidR="00931A29" w:rsidRPr="00627DA0" w:rsidRDefault="00931A29" w:rsidP="00460075">
            <w:pPr>
              <w:rPr>
                <w:rFonts w:cs="Calibri Light"/>
                <w:sz w:val="20"/>
                <w:szCs w:val="20"/>
              </w:rPr>
            </w:pPr>
          </w:p>
        </w:tc>
        <w:tc>
          <w:tcPr>
            <w:tcW w:w="4770" w:type="dxa"/>
            <w:tcBorders>
              <w:bottom w:val="single" w:sz="4" w:space="0" w:color="000000" w:themeColor="text1"/>
            </w:tcBorders>
            <w:vAlign w:val="bottom"/>
          </w:tcPr>
          <w:p w14:paraId="2761DBE0" w14:textId="77777777" w:rsidR="00931A29" w:rsidRPr="00627DA0" w:rsidRDefault="00931A29" w:rsidP="00460075">
            <w:pPr>
              <w:jc w:val="left"/>
              <w:rPr>
                <w:rFonts w:cs="Calibri Light"/>
                <w:sz w:val="20"/>
                <w:szCs w:val="20"/>
              </w:rPr>
            </w:pPr>
            <w:r w:rsidRPr="00627DA0">
              <w:rPr>
                <w:rFonts w:cs="Calibri Light"/>
                <w:sz w:val="20"/>
                <w:szCs w:val="20"/>
              </w:rPr>
              <w:t>Engine Block Heater</w:t>
            </w:r>
          </w:p>
        </w:tc>
        <w:tc>
          <w:tcPr>
            <w:tcW w:w="2780" w:type="dxa"/>
            <w:tcBorders>
              <w:bottom w:val="single" w:sz="4" w:space="0" w:color="000000" w:themeColor="text1"/>
            </w:tcBorders>
          </w:tcPr>
          <w:p w14:paraId="703CF198"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0194A9EE" w14:textId="77777777" w:rsidTr="00460075">
        <w:tc>
          <w:tcPr>
            <w:tcW w:w="1800" w:type="dxa"/>
            <w:vMerge w:val="restart"/>
            <w:tcBorders>
              <w:top w:val="single" w:sz="4" w:space="0" w:color="000000" w:themeColor="text1"/>
            </w:tcBorders>
          </w:tcPr>
          <w:p w14:paraId="32D70BB5" w14:textId="77777777" w:rsidR="00931A29" w:rsidRPr="00627DA0" w:rsidRDefault="00931A29" w:rsidP="00460075">
            <w:pPr>
              <w:rPr>
                <w:rFonts w:cs="Calibri Light"/>
                <w:color w:val="000000"/>
                <w:sz w:val="20"/>
                <w:szCs w:val="20"/>
              </w:rPr>
            </w:pPr>
            <w:r w:rsidRPr="00627DA0">
              <w:rPr>
                <w:rFonts w:cs="Calibri Light"/>
                <w:color w:val="000000"/>
                <w:sz w:val="20"/>
                <w:szCs w:val="20"/>
              </w:rPr>
              <w:t>Refrigeration</w:t>
            </w:r>
          </w:p>
        </w:tc>
        <w:tc>
          <w:tcPr>
            <w:tcW w:w="4770" w:type="dxa"/>
            <w:tcBorders>
              <w:top w:val="single" w:sz="4" w:space="0" w:color="000000" w:themeColor="text1"/>
            </w:tcBorders>
            <w:shd w:val="clear" w:color="auto" w:fill="F2F2F2" w:themeFill="background1" w:themeFillShade="F2"/>
            <w:vAlign w:val="bottom"/>
          </w:tcPr>
          <w:p w14:paraId="7EE8EF4C" w14:textId="77777777" w:rsidR="00931A29" w:rsidRPr="00627DA0" w:rsidRDefault="00931A29" w:rsidP="00460075">
            <w:pPr>
              <w:jc w:val="left"/>
              <w:rPr>
                <w:rFonts w:cs="Calibri Light"/>
                <w:sz w:val="20"/>
                <w:szCs w:val="20"/>
              </w:rPr>
            </w:pPr>
            <w:r w:rsidRPr="00627DA0">
              <w:rPr>
                <w:rFonts w:cs="Calibri Light"/>
                <w:sz w:val="20"/>
                <w:szCs w:val="20"/>
              </w:rPr>
              <w:t>Freezer</w:t>
            </w:r>
          </w:p>
        </w:tc>
        <w:tc>
          <w:tcPr>
            <w:tcW w:w="2780" w:type="dxa"/>
            <w:tcBorders>
              <w:top w:val="single" w:sz="4" w:space="0" w:color="000000" w:themeColor="text1"/>
            </w:tcBorders>
            <w:shd w:val="clear" w:color="auto" w:fill="F2F2F2" w:themeFill="background1" w:themeFillShade="F2"/>
          </w:tcPr>
          <w:p w14:paraId="493140ED"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127336E4" w14:textId="77777777" w:rsidTr="00460075">
        <w:tc>
          <w:tcPr>
            <w:tcW w:w="1800" w:type="dxa"/>
            <w:vMerge/>
            <w:tcBorders>
              <w:bottom w:val="single" w:sz="4" w:space="0" w:color="000000" w:themeColor="text1"/>
            </w:tcBorders>
          </w:tcPr>
          <w:p w14:paraId="3F47BD2B" w14:textId="77777777" w:rsidR="00931A29" w:rsidRPr="00627DA0" w:rsidRDefault="00931A29" w:rsidP="00460075">
            <w:pPr>
              <w:rPr>
                <w:rFonts w:cs="Calibri Light"/>
                <w:sz w:val="20"/>
                <w:szCs w:val="20"/>
              </w:rPr>
            </w:pPr>
          </w:p>
        </w:tc>
        <w:tc>
          <w:tcPr>
            <w:tcW w:w="4770" w:type="dxa"/>
            <w:vAlign w:val="bottom"/>
          </w:tcPr>
          <w:p w14:paraId="3E30ECD2" w14:textId="77777777" w:rsidR="00931A29" w:rsidRPr="00627DA0" w:rsidRDefault="00931A29" w:rsidP="00460075">
            <w:pPr>
              <w:jc w:val="left"/>
              <w:rPr>
                <w:rFonts w:cs="Calibri Light"/>
                <w:sz w:val="20"/>
                <w:szCs w:val="20"/>
              </w:rPr>
            </w:pPr>
            <w:r w:rsidRPr="00627DA0">
              <w:rPr>
                <w:rFonts w:cs="Calibri Light"/>
                <w:sz w:val="20"/>
                <w:szCs w:val="20"/>
              </w:rPr>
              <w:t>Grocery Refrigeration</w:t>
            </w:r>
          </w:p>
        </w:tc>
        <w:tc>
          <w:tcPr>
            <w:tcW w:w="2780" w:type="dxa"/>
          </w:tcPr>
          <w:p w14:paraId="75F9FD31"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496234B3" w14:textId="77777777" w:rsidTr="00460075">
        <w:tc>
          <w:tcPr>
            <w:tcW w:w="1800" w:type="dxa"/>
            <w:vMerge/>
            <w:tcBorders>
              <w:bottom w:val="single" w:sz="4" w:space="0" w:color="000000" w:themeColor="text1"/>
            </w:tcBorders>
          </w:tcPr>
          <w:p w14:paraId="690D867E"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46ED7C6B" w14:textId="77777777" w:rsidR="00931A29" w:rsidRPr="00627DA0" w:rsidRDefault="00931A29" w:rsidP="00460075">
            <w:pPr>
              <w:jc w:val="left"/>
              <w:rPr>
                <w:rFonts w:cs="Calibri Light"/>
                <w:sz w:val="20"/>
                <w:szCs w:val="20"/>
              </w:rPr>
            </w:pPr>
            <w:r w:rsidRPr="00627DA0">
              <w:rPr>
                <w:rFonts w:cs="Calibri Light"/>
                <w:sz w:val="20"/>
                <w:szCs w:val="20"/>
              </w:rPr>
              <w:t>Ice Maker</w:t>
            </w:r>
          </w:p>
        </w:tc>
        <w:tc>
          <w:tcPr>
            <w:tcW w:w="2780" w:type="dxa"/>
            <w:shd w:val="clear" w:color="auto" w:fill="F2F2F2" w:themeFill="background1" w:themeFillShade="F2"/>
          </w:tcPr>
          <w:p w14:paraId="1FCAFD40" w14:textId="77777777" w:rsidR="00931A29" w:rsidRPr="00627DA0" w:rsidRDefault="00931A29" w:rsidP="00460075">
            <w:pPr>
              <w:rPr>
                <w:rFonts w:cs="Calibri Light"/>
                <w:sz w:val="20"/>
                <w:szCs w:val="20"/>
              </w:rPr>
            </w:pPr>
            <w:r w:rsidRPr="00627DA0">
              <w:rPr>
                <w:sz w:val="20"/>
                <w:szCs w:val="20"/>
              </w:rPr>
              <w:t xml:space="preserve">2021 Power Plan, RTF </w:t>
            </w:r>
          </w:p>
        </w:tc>
      </w:tr>
      <w:tr w:rsidR="00931A29" w:rsidRPr="00627DA0" w14:paraId="26BB4F59" w14:textId="77777777" w:rsidTr="00460075">
        <w:tc>
          <w:tcPr>
            <w:tcW w:w="1800" w:type="dxa"/>
            <w:vMerge/>
            <w:tcBorders>
              <w:bottom w:val="single" w:sz="4" w:space="0" w:color="000000" w:themeColor="text1"/>
            </w:tcBorders>
          </w:tcPr>
          <w:p w14:paraId="578C968F" w14:textId="77777777" w:rsidR="00931A29" w:rsidRPr="00627DA0" w:rsidRDefault="00931A29" w:rsidP="00460075">
            <w:pPr>
              <w:rPr>
                <w:rFonts w:cs="Calibri Light"/>
                <w:sz w:val="20"/>
                <w:szCs w:val="20"/>
              </w:rPr>
            </w:pPr>
          </w:p>
        </w:tc>
        <w:tc>
          <w:tcPr>
            <w:tcW w:w="4770" w:type="dxa"/>
            <w:vAlign w:val="bottom"/>
          </w:tcPr>
          <w:p w14:paraId="4778DC7E" w14:textId="77777777" w:rsidR="00931A29" w:rsidRPr="00627DA0" w:rsidRDefault="00931A29" w:rsidP="00460075">
            <w:pPr>
              <w:jc w:val="left"/>
              <w:rPr>
                <w:rFonts w:cs="Calibri Light"/>
                <w:sz w:val="20"/>
                <w:szCs w:val="20"/>
              </w:rPr>
            </w:pPr>
            <w:r w:rsidRPr="00627DA0">
              <w:rPr>
                <w:rFonts w:cs="Calibri Light"/>
                <w:sz w:val="20"/>
                <w:szCs w:val="20"/>
              </w:rPr>
              <w:t>Refrigerator</w:t>
            </w:r>
          </w:p>
        </w:tc>
        <w:tc>
          <w:tcPr>
            <w:tcW w:w="2780" w:type="dxa"/>
          </w:tcPr>
          <w:p w14:paraId="02AFA0DF"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6D47C426" w14:textId="77777777" w:rsidTr="00460075">
        <w:tc>
          <w:tcPr>
            <w:tcW w:w="1800" w:type="dxa"/>
            <w:vMerge/>
            <w:tcBorders>
              <w:bottom w:val="single" w:sz="4" w:space="0" w:color="000000" w:themeColor="text1"/>
            </w:tcBorders>
          </w:tcPr>
          <w:p w14:paraId="7ADFD5FC"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78210E6B" w14:textId="77777777" w:rsidR="00931A29" w:rsidRPr="00627DA0" w:rsidRDefault="00931A29" w:rsidP="00460075">
            <w:pPr>
              <w:jc w:val="left"/>
              <w:rPr>
                <w:rFonts w:cs="Calibri Light"/>
                <w:sz w:val="20"/>
                <w:szCs w:val="20"/>
              </w:rPr>
            </w:pPr>
            <w:r w:rsidRPr="00627DA0">
              <w:rPr>
                <w:rFonts w:cs="Calibri Light"/>
                <w:sz w:val="20"/>
                <w:szCs w:val="20"/>
              </w:rPr>
              <w:t>Vending Machine</w:t>
            </w:r>
          </w:p>
        </w:tc>
        <w:tc>
          <w:tcPr>
            <w:tcW w:w="2780" w:type="dxa"/>
            <w:shd w:val="clear" w:color="auto" w:fill="F2F2F2" w:themeFill="background1" w:themeFillShade="F2"/>
          </w:tcPr>
          <w:p w14:paraId="2733120A"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758DEB1C" w14:textId="77777777" w:rsidTr="00460075">
        <w:tc>
          <w:tcPr>
            <w:tcW w:w="1800" w:type="dxa"/>
            <w:vMerge/>
            <w:tcBorders>
              <w:bottom w:val="single" w:sz="4" w:space="0" w:color="000000" w:themeColor="text1"/>
            </w:tcBorders>
          </w:tcPr>
          <w:p w14:paraId="753CE0AF" w14:textId="77777777" w:rsidR="00931A29" w:rsidRPr="00627DA0" w:rsidRDefault="00931A29" w:rsidP="00460075">
            <w:pPr>
              <w:rPr>
                <w:rFonts w:cs="Calibri Light"/>
                <w:sz w:val="20"/>
                <w:szCs w:val="20"/>
              </w:rPr>
            </w:pPr>
          </w:p>
        </w:tc>
        <w:tc>
          <w:tcPr>
            <w:tcW w:w="4770" w:type="dxa"/>
            <w:tcBorders>
              <w:bottom w:val="single" w:sz="4" w:space="0" w:color="000000" w:themeColor="text1"/>
            </w:tcBorders>
            <w:vAlign w:val="bottom"/>
          </w:tcPr>
          <w:p w14:paraId="3B849595" w14:textId="77777777" w:rsidR="00931A29" w:rsidRPr="00627DA0" w:rsidRDefault="00931A29" w:rsidP="00460075">
            <w:pPr>
              <w:jc w:val="left"/>
              <w:rPr>
                <w:rFonts w:cs="Calibri Light"/>
                <w:sz w:val="20"/>
                <w:szCs w:val="20"/>
              </w:rPr>
            </w:pPr>
            <w:r w:rsidRPr="00627DA0">
              <w:rPr>
                <w:rFonts w:cs="Calibri Light"/>
                <w:sz w:val="20"/>
                <w:szCs w:val="20"/>
              </w:rPr>
              <w:t>Water Cooler Controls</w:t>
            </w:r>
          </w:p>
        </w:tc>
        <w:tc>
          <w:tcPr>
            <w:tcW w:w="2780" w:type="dxa"/>
            <w:tcBorders>
              <w:bottom w:val="single" w:sz="4" w:space="0" w:color="000000" w:themeColor="text1"/>
            </w:tcBorders>
          </w:tcPr>
          <w:p w14:paraId="686B4048" w14:textId="77777777" w:rsidR="00931A29" w:rsidRPr="00627DA0" w:rsidRDefault="00931A29" w:rsidP="00460075">
            <w:pPr>
              <w:rPr>
                <w:rFonts w:cs="Calibri Light"/>
                <w:sz w:val="20"/>
                <w:szCs w:val="20"/>
              </w:rPr>
            </w:pPr>
            <w:r w:rsidRPr="00627DA0">
              <w:rPr>
                <w:sz w:val="20"/>
                <w:szCs w:val="20"/>
              </w:rPr>
              <w:t xml:space="preserve">2021 Power Plan </w:t>
            </w:r>
          </w:p>
        </w:tc>
      </w:tr>
      <w:tr w:rsidR="00931A29" w:rsidRPr="00627DA0" w14:paraId="7B3D60D3" w14:textId="77777777" w:rsidTr="00460075">
        <w:tc>
          <w:tcPr>
            <w:tcW w:w="1800" w:type="dxa"/>
            <w:vMerge w:val="restart"/>
            <w:tcBorders>
              <w:top w:val="single" w:sz="4" w:space="0" w:color="000000" w:themeColor="text1"/>
            </w:tcBorders>
          </w:tcPr>
          <w:p w14:paraId="60819305" w14:textId="77777777" w:rsidR="00931A29" w:rsidRPr="00627DA0" w:rsidRDefault="00931A29" w:rsidP="00460075">
            <w:pPr>
              <w:rPr>
                <w:rFonts w:cs="Calibri Light"/>
                <w:color w:val="000000"/>
                <w:sz w:val="20"/>
                <w:szCs w:val="20"/>
              </w:rPr>
            </w:pPr>
            <w:r w:rsidRPr="00627DA0">
              <w:rPr>
                <w:rFonts w:cs="Calibri Light"/>
                <w:color w:val="000000"/>
                <w:sz w:val="20"/>
                <w:szCs w:val="20"/>
              </w:rPr>
              <w:t>Water Heating</w:t>
            </w:r>
          </w:p>
        </w:tc>
        <w:tc>
          <w:tcPr>
            <w:tcW w:w="4770" w:type="dxa"/>
            <w:tcBorders>
              <w:top w:val="single" w:sz="4" w:space="0" w:color="000000" w:themeColor="text1"/>
            </w:tcBorders>
            <w:shd w:val="clear" w:color="auto" w:fill="F2F2F2" w:themeFill="background1" w:themeFillShade="F2"/>
            <w:vAlign w:val="bottom"/>
          </w:tcPr>
          <w:p w14:paraId="65F21EC6" w14:textId="77777777" w:rsidR="00931A29" w:rsidRPr="00627DA0" w:rsidRDefault="00931A29" w:rsidP="00460075">
            <w:pPr>
              <w:jc w:val="left"/>
              <w:rPr>
                <w:rFonts w:cs="Calibri Light"/>
                <w:sz w:val="20"/>
                <w:szCs w:val="20"/>
              </w:rPr>
            </w:pPr>
            <w:r w:rsidRPr="00627DA0">
              <w:rPr>
                <w:rFonts w:cs="Calibri Light"/>
                <w:sz w:val="20"/>
                <w:szCs w:val="20"/>
              </w:rPr>
              <w:t>Commercial Clothes Washer</w:t>
            </w:r>
          </w:p>
        </w:tc>
        <w:tc>
          <w:tcPr>
            <w:tcW w:w="2780" w:type="dxa"/>
            <w:tcBorders>
              <w:top w:val="single" w:sz="4" w:space="0" w:color="000000" w:themeColor="text1"/>
            </w:tcBorders>
            <w:shd w:val="clear" w:color="auto" w:fill="F2F2F2" w:themeFill="background1" w:themeFillShade="F2"/>
          </w:tcPr>
          <w:p w14:paraId="14938AB8"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1B6B0A66" w14:textId="77777777" w:rsidTr="00460075">
        <w:tc>
          <w:tcPr>
            <w:tcW w:w="1800" w:type="dxa"/>
            <w:vMerge/>
          </w:tcPr>
          <w:p w14:paraId="7CB87064" w14:textId="77777777" w:rsidR="00931A29" w:rsidRPr="00627DA0" w:rsidRDefault="00931A29" w:rsidP="00460075">
            <w:pPr>
              <w:rPr>
                <w:rFonts w:cs="Calibri Light"/>
                <w:sz w:val="20"/>
                <w:szCs w:val="20"/>
              </w:rPr>
            </w:pPr>
          </w:p>
        </w:tc>
        <w:tc>
          <w:tcPr>
            <w:tcW w:w="4770" w:type="dxa"/>
            <w:vAlign w:val="bottom"/>
          </w:tcPr>
          <w:p w14:paraId="4ABCA257" w14:textId="77777777" w:rsidR="00931A29" w:rsidRPr="00627DA0" w:rsidRDefault="00931A29" w:rsidP="00460075">
            <w:pPr>
              <w:jc w:val="left"/>
              <w:rPr>
                <w:rFonts w:cs="Calibri Light"/>
                <w:sz w:val="20"/>
                <w:szCs w:val="20"/>
              </w:rPr>
            </w:pPr>
            <w:r w:rsidRPr="00627DA0">
              <w:rPr>
                <w:rFonts w:cs="Calibri Light"/>
                <w:sz w:val="20"/>
                <w:szCs w:val="20"/>
              </w:rPr>
              <w:t>Heat Pump Water Heater</w:t>
            </w:r>
          </w:p>
        </w:tc>
        <w:tc>
          <w:tcPr>
            <w:tcW w:w="2780" w:type="dxa"/>
          </w:tcPr>
          <w:p w14:paraId="41ACC0BE" w14:textId="77777777" w:rsidR="00931A29" w:rsidRPr="00627DA0" w:rsidRDefault="00931A29" w:rsidP="00460075">
            <w:pPr>
              <w:rPr>
                <w:rFonts w:cs="Calibri Light"/>
                <w:sz w:val="20"/>
                <w:szCs w:val="20"/>
              </w:rPr>
            </w:pPr>
            <w:r w:rsidRPr="00627DA0">
              <w:rPr>
                <w:sz w:val="20"/>
                <w:szCs w:val="20"/>
              </w:rPr>
              <w:t xml:space="preserve">2021 Power Plan, RTF </w:t>
            </w:r>
          </w:p>
        </w:tc>
      </w:tr>
      <w:tr w:rsidR="00931A29" w:rsidRPr="00627DA0" w14:paraId="2C768F6E" w14:textId="77777777" w:rsidTr="00460075">
        <w:tc>
          <w:tcPr>
            <w:tcW w:w="1800" w:type="dxa"/>
            <w:vMerge/>
          </w:tcPr>
          <w:p w14:paraId="747AA891" w14:textId="77777777" w:rsidR="00931A29" w:rsidRPr="00627DA0" w:rsidRDefault="00931A29" w:rsidP="00460075">
            <w:pPr>
              <w:rPr>
                <w:rFonts w:cs="Calibri Light"/>
                <w:sz w:val="20"/>
                <w:szCs w:val="20"/>
              </w:rPr>
            </w:pPr>
          </w:p>
        </w:tc>
        <w:tc>
          <w:tcPr>
            <w:tcW w:w="4770" w:type="dxa"/>
            <w:shd w:val="clear" w:color="auto" w:fill="F2F2F2" w:themeFill="background1" w:themeFillShade="F2"/>
            <w:vAlign w:val="bottom"/>
          </w:tcPr>
          <w:p w14:paraId="20A1C7C0" w14:textId="77777777" w:rsidR="00931A29" w:rsidRPr="00627DA0" w:rsidRDefault="00931A29" w:rsidP="00460075">
            <w:pPr>
              <w:jc w:val="left"/>
              <w:rPr>
                <w:rFonts w:cs="Calibri Light"/>
                <w:sz w:val="20"/>
                <w:szCs w:val="20"/>
              </w:rPr>
            </w:pPr>
            <w:r w:rsidRPr="00627DA0">
              <w:rPr>
                <w:rFonts w:cs="Calibri Light"/>
                <w:sz w:val="20"/>
                <w:szCs w:val="20"/>
              </w:rPr>
              <w:t>Pre-Rinse Spray Valve</w:t>
            </w:r>
          </w:p>
        </w:tc>
        <w:tc>
          <w:tcPr>
            <w:tcW w:w="2780" w:type="dxa"/>
            <w:shd w:val="clear" w:color="auto" w:fill="F2F2F2" w:themeFill="background1" w:themeFillShade="F2"/>
          </w:tcPr>
          <w:p w14:paraId="7978DB00"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1BB84ABE" w14:textId="77777777" w:rsidTr="00460075">
        <w:tc>
          <w:tcPr>
            <w:tcW w:w="1800" w:type="dxa"/>
            <w:vMerge/>
          </w:tcPr>
          <w:p w14:paraId="5B692F53" w14:textId="77777777" w:rsidR="00931A29" w:rsidRPr="00627DA0" w:rsidRDefault="00931A29" w:rsidP="00460075">
            <w:pPr>
              <w:rPr>
                <w:rFonts w:cs="Calibri Light"/>
                <w:sz w:val="20"/>
                <w:szCs w:val="20"/>
              </w:rPr>
            </w:pPr>
          </w:p>
        </w:tc>
        <w:tc>
          <w:tcPr>
            <w:tcW w:w="4770" w:type="dxa"/>
            <w:vAlign w:val="bottom"/>
          </w:tcPr>
          <w:p w14:paraId="6D495E1D" w14:textId="77777777" w:rsidR="00931A29" w:rsidRPr="00627DA0" w:rsidRDefault="00931A29" w:rsidP="00460075">
            <w:pPr>
              <w:jc w:val="left"/>
              <w:rPr>
                <w:rFonts w:cs="Calibri Light"/>
                <w:sz w:val="20"/>
                <w:szCs w:val="20"/>
              </w:rPr>
            </w:pPr>
            <w:r w:rsidRPr="00627DA0">
              <w:rPr>
                <w:rFonts w:cs="Calibri Light"/>
                <w:sz w:val="20"/>
                <w:szCs w:val="20"/>
              </w:rPr>
              <w:t>Pumps</w:t>
            </w:r>
          </w:p>
        </w:tc>
        <w:tc>
          <w:tcPr>
            <w:tcW w:w="2780" w:type="dxa"/>
          </w:tcPr>
          <w:p w14:paraId="32AC6C02" w14:textId="77777777" w:rsidR="00931A29" w:rsidRPr="00627DA0" w:rsidRDefault="00931A29" w:rsidP="00460075">
            <w:pPr>
              <w:rPr>
                <w:rFonts w:cs="Calibri Light"/>
                <w:sz w:val="20"/>
                <w:szCs w:val="20"/>
              </w:rPr>
            </w:pPr>
            <w:r w:rsidRPr="00627DA0">
              <w:rPr>
                <w:sz w:val="20"/>
                <w:szCs w:val="20"/>
              </w:rPr>
              <w:t>2021 Power Plan, RTF</w:t>
            </w:r>
          </w:p>
        </w:tc>
      </w:tr>
      <w:tr w:rsidR="00931A29" w:rsidRPr="00627DA0" w14:paraId="685996BC" w14:textId="77777777" w:rsidTr="00460075">
        <w:tc>
          <w:tcPr>
            <w:tcW w:w="1800" w:type="dxa"/>
            <w:vMerge/>
            <w:tcBorders>
              <w:bottom w:val="single" w:sz="12" w:space="0" w:color="000000" w:themeColor="text1"/>
            </w:tcBorders>
          </w:tcPr>
          <w:p w14:paraId="08180F7A" w14:textId="77777777" w:rsidR="00931A29" w:rsidRPr="00627DA0" w:rsidRDefault="00931A29" w:rsidP="00460075">
            <w:pPr>
              <w:rPr>
                <w:rFonts w:cs="Calibri Light"/>
                <w:sz w:val="20"/>
                <w:szCs w:val="20"/>
              </w:rPr>
            </w:pPr>
          </w:p>
        </w:tc>
        <w:tc>
          <w:tcPr>
            <w:tcW w:w="4770" w:type="dxa"/>
            <w:tcBorders>
              <w:bottom w:val="single" w:sz="12" w:space="0" w:color="000000" w:themeColor="text1"/>
            </w:tcBorders>
            <w:shd w:val="clear" w:color="auto" w:fill="F2F2F2" w:themeFill="background1" w:themeFillShade="F2"/>
            <w:vAlign w:val="bottom"/>
          </w:tcPr>
          <w:p w14:paraId="1E16747E" w14:textId="77777777" w:rsidR="00931A29" w:rsidRPr="00627DA0" w:rsidRDefault="00931A29" w:rsidP="00460075">
            <w:pPr>
              <w:jc w:val="left"/>
              <w:rPr>
                <w:rFonts w:cs="Calibri Light"/>
                <w:sz w:val="20"/>
                <w:szCs w:val="20"/>
              </w:rPr>
            </w:pPr>
            <w:r w:rsidRPr="00627DA0">
              <w:rPr>
                <w:rFonts w:cs="Calibri Light"/>
                <w:sz w:val="20"/>
                <w:szCs w:val="20"/>
              </w:rPr>
              <w:t>Showerheads</w:t>
            </w:r>
          </w:p>
        </w:tc>
        <w:tc>
          <w:tcPr>
            <w:tcW w:w="2780" w:type="dxa"/>
            <w:tcBorders>
              <w:bottom w:val="single" w:sz="12" w:space="0" w:color="000000" w:themeColor="text1"/>
            </w:tcBorders>
            <w:shd w:val="clear" w:color="auto" w:fill="F2F2F2" w:themeFill="background1" w:themeFillShade="F2"/>
          </w:tcPr>
          <w:p w14:paraId="5E7FCFF3" w14:textId="77777777" w:rsidR="00931A29" w:rsidRPr="00627DA0" w:rsidRDefault="00931A29" w:rsidP="00460075">
            <w:pPr>
              <w:rPr>
                <w:rFonts w:cs="Calibri Light"/>
                <w:sz w:val="20"/>
                <w:szCs w:val="20"/>
              </w:rPr>
            </w:pPr>
            <w:r w:rsidRPr="00627DA0">
              <w:rPr>
                <w:sz w:val="20"/>
                <w:szCs w:val="20"/>
              </w:rPr>
              <w:t>2021 Power Plan</w:t>
            </w:r>
          </w:p>
        </w:tc>
      </w:tr>
    </w:tbl>
    <w:p w14:paraId="4C95F1AF" w14:textId="2863B07F" w:rsidR="00FE12C7" w:rsidRPr="00627DA0" w:rsidRDefault="00FE12C7" w:rsidP="00F27D19"/>
    <w:p w14:paraId="1376C5D7" w14:textId="3E4DE4A3" w:rsidR="008C7238" w:rsidRPr="00627DA0" w:rsidRDefault="008C7238" w:rsidP="00F27D19"/>
    <w:p w14:paraId="40C8E7D4" w14:textId="5133377C" w:rsidR="00F324D2" w:rsidRPr="00627DA0" w:rsidRDefault="00F324D2" w:rsidP="00F324D2">
      <w:pPr>
        <w:pStyle w:val="Caption"/>
      </w:pPr>
      <w:bookmarkStart w:id="169" w:name="_Toc207870745"/>
      <w:r w:rsidRPr="00627DA0">
        <w:t xml:space="preserve">Table </w:t>
      </w:r>
      <w:fldSimple w:instr=" SEQ Table \* ARABIC ">
        <w:r w:rsidR="00431297" w:rsidRPr="00627DA0">
          <w:t>16</w:t>
        </w:r>
      </w:fldSimple>
      <w:r w:rsidRPr="00627DA0">
        <w:t>: Industrial End Uses and Measures</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898"/>
        <w:gridCol w:w="3117"/>
      </w:tblGrid>
      <w:tr w:rsidR="00627B24" w:rsidRPr="00627DA0" w14:paraId="70BEB3D2" w14:textId="77777777" w:rsidTr="00460075">
        <w:tc>
          <w:tcPr>
            <w:tcW w:w="2335" w:type="dxa"/>
            <w:tcBorders>
              <w:top w:val="single" w:sz="4" w:space="0" w:color="auto"/>
              <w:bottom w:val="single" w:sz="4" w:space="0" w:color="auto"/>
            </w:tcBorders>
            <w:shd w:val="clear" w:color="auto" w:fill="00205C" w:themeFill="accent1" w:themeFillShade="BF"/>
          </w:tcPr>
          <w:p w14:paraId="057E0F83" w14:textId="77777777" w:rsidR="00627B24" w:rsidRPr="00627DA0" w:rsidRDefault="00627B24" w:rsidP="00460075">
            <w:pPr>
              <w:rPr>
                <w:rFonts w:cs="Calibri Light"/>
                <w:sz w:val="20"/>
                <w:szCs w:val="20"/>
              </w:rPr>
            </w:pPr>
            <w:r w:rsidRPr="00627DA0">
              <w:rPr>
                <w:rFonts w:cs="Calibri Light"/>
                <w:b/>
                <w:bCs/>
                <w:sz w:val="20"/>
                <w:szCs w:val="20"/>
              </w:rPr>
              <w:t>End Use</w:t>
            </w:r>
          </w:p>
        </w:tc>
        <w:tc>
          <w:tcPr>
            <w:tcW w:w="3898" w:type="dxa"/>
            <w:tcBorders>
              <w:top w:val="single" w:sz="4" w:space="0" w:color="auto"/>
              <w:bottom w:val="single" w:sz="4" w:space="0" w:color="auto"/>
            </w:tcBorders>
            <w:shd w:val="clear" w:color="auto" w:fill="00205C" w:themeFill="accent1" w:themeFillShade="BF"/>
          </w:tcPr>
          <w:p w14:paraId="5025D819" w14:textId="77777777" w:rsidR="00627B24" w:rsidRPr="00627DA0" w:rsidRDefault="00627B24" w:rsidP="00460075">
            <w:pPr>
              <w:rPr>
                <w:rFonts w:cs="Calibri Light"/>
                <w:sz w:val="20"/>
                <w:szCs w:val="20"/>
              </w:rPr>
            </w:pPr>
            <w:r w:rsidRPr="00627DA0">
              <w:rPr>
                <w:rFonts w:cs="Calibri Light"/>
                <w:b/>
                <w:bCs/>
                <w:sz w:val="20"/>
                <w:szCs w:val="20"/>
              </w:rPr>
              <w:t>Measure Category</w:t>
            </w:r>
          </w:p>
        </w:tc>
        <w:tc>
          <w:tcPr>
            <w:tcW w:w="3117" w:type="dxa"/>
            <w:tcBorders>
              <w:top w:val="single" w:sz="4" w:space="0" w:color="auto"/>
              <w:bottom w:val="single" w:sz="4" w:space="0" w:color="auto"/>
            </w:tcBorders>
            <w:shd w:val="clear" w:color="auto" w:fill="00205C" w:themeFill="accent1" w:themeFillShade="BF"/>
          </w:tcPr>
          <w:p w14:paraId="56E02A2C" w14:textId="77777777" w:rsidR="00627B24" w:rsidRPr="00627DA0" w:rsidRDefault="00627B24" w:rsidP="00460075">
            <w:pPr>
              <w:rPr>
                <w:rFonts w:cs="Calibri Light"/>
                <w:sz w:val="20"/>
                <w:szCs w:val="20"/>
              </w:rPr>
            </w:pPr>
            <w:r w:rsidRPr="00627DA0">
              <w:rPr>
                <w:rFonts w:cs="Calibri Light"/>
                <w:b/>
                <w:bCs/>
                <w:sz w:val="20"/>
                <w:szCs w:val="20"/>
              </w:rPr>
              <w:t>Data Source(s)</w:t>
            </w:r>
          </w:p>
        </w:tc>
      </w:tr>
      <w:tr w:rsidR="00627B24" w:rsidRPr="00627DA0" w14:paraId="6ECBD6E3" w14:textId="77777777" w:rsidTr="00460075">
        <w:tc>
          <w:tcPr>
            <w:tcW w:w="2335" w:type="dxa"/>
            <w:tcBorders>
              <w:top w:val="single" w:sz="4" w:space="0" w:color="auto"/>
            </w:tcBorders>
          </w:tcPr>
          <w:p w14:paraId="5F057753" w14:textId="77777777" w:rsidR="00627B24" w:rsidRPr="00627DA0" w:rsidRDefault="00627B24" w:rsidP="00460075">
            <w:pPr>
              <w:rPr>
                <w:rFonts w:cs="Calibri Light"/>
                <w:sz w:val="20"/>
                <w:szCs w:val="20"/>
              </w:rPr>
            </w:pPr>
            <w:r w:rsidRPr="00627DA0">
              <w:rPr>
                <w:rFonts w:cs="Calibri Light"/>
                <w:sz w:val="20"/>
                <w:szCs w:val="20"/>
              </w:rPr>
              <w:t>All Electric</w:t>
            </w:r>
          </w:p>
        </w:tc>
        <w:tc>
          <w:tcPr>
            <w:tcW w:w="3898" w:type="dxa"/>
            <w:tcBorders>
              <w:top w:val="single" w:sz="4" w:space="0" w:color="auto"/>
            </w:tcBorders>
            <w:shd w:val="clear" w:color="auto" w:fill="F2F2F2" w:themeFill="background1" w:themeFillShade="F2"/>
          </w:tcPr>
          <w:p w14:paraId="6FBF84B0" w14:textId="77777777" w:rsidR="00627B24" w:rsidRPr="00627DA0" w:rsidRDefault="00627B24" w:rsidP="00460075">
            <w:pPr>
              <w:rPr>
                <w:rFonts w:cs="Calibri Light"/>
                <w:sz w:val="20"/>
                <w:szCs w:val="20"/>
              </w:rPr>
            </w:pPr>
            <w:r w:rsidRPr="00627DA0">
              <w:rPr>
                <w:rFonts w:cs="Calibri Light"/>
                <w:sz w:val="20"/>
                <w:szCs w:val="20"/>
              </w:rPr>
              <w:t>Energy Management</w:t>
            </w:r>
          </w:p>
        </w:tc>
        <w:tc>
          <w:tcPr>
            <w:tcW w:w="3117" w:type="dxa"/>
            <w:tcBorders>
              <w:top w:val="single" w:sz="4" w:space="0" w:color="auto"/>
            </w:tcBorders>
            <w:shd w:val="clear" w:color="auto" w:fill="F2F2F2" w:themeFill="background1" w:themeFillShade="F2"/>
          </w:tcPr>
          <w:p w14:paraId="21525677"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2F06E6F4" w14:textId="77777777" w:rsidTr="00460075">
        <w:tc>
          <w:tcPr>
            <w:tcW w:w="2335" w:type="dxa"/>
          </w:tcPr>
          <w:p w14:paraId="1CFFC37E" w14:textId="77777777" w:rsidR="00627B24" w:rsidRPr="00627DA0" w:rsidRDefault="00627B24" w:rsidP="00460075">
            <w:pPr>
              <w:rPr>
                <w:rFonts w:cs="Calibri Light"/>
                <w:sz w:val="20"/>
                <w:szCs w:val="20"/>
              </w:rPr>
            </w:pPr>
          </w:p>
        </w:tc>
        <w:tc>
          <w:tcPr>
            <w:tcW w:w="3898" w:type="dxa"/>
          </w:tcPr>
          <w:p w14:paraId="1AFB8A86" w14:textId="77777777" w:rsidR="00627B24" w:rsidRPr="00627DA0" w:rsidRDefault="00627B24" w:rsidP="00460075">
            <w:pPr>
              <w:rPr>
                <w:rFonts w:cs="Calibri Light"/>
                <w:sz w:val="20"/>
                <w:szCs w:val="20"/>
              </w:rPr>
            </w:pPr>
            <w:r w:rsidRPr="00627DA0">
              <w:rPr>
                <w:rFonts w:cs="Calibri Light"/>
                <w:sz w:val="20"/>
                <w:szCs w:val="20"/>
              </w:rPr>
              <w:t>Forklift Charger</w:t>
            </w:r>
          </w:p>
        </w:tc>
        <w:tc>
          <w:tcPr>
            <w:tcW w:w="3117" w:type="dxa"/>
          </w:tcPr>
          <w:p w14:paraId="3EFDF0AD"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1053D90D" w14:textId="77777777" w:rsidTr="00460075">
        <w:tc>
          <w:tcPr>
            <w:tcW w:w="2335" w:type="dxa"/>
            <w:tcBorders>
              <w:bottom w:val="single" w:sz="4" w:space="0" w:color="auto"/>
            </w:tcBorders>
          </w:tcPr>
          <w:p w14:paraId="36D6EAC5" w14:textId="77777777" w:rsidR="00627B24" w:rsidRPr="00627DA0" w:rsidRDefault="00627B24" w:rsidP="00460075">
            <w:pPr>
              <w:rPr>
                <w:rFonts w:cs="Calibri Light"/>
                <w:sz w:val="20"/>
                <w:szCs w:val="20"/>
              </w:rPr>
            </w:pPr>
          </w:p>
        </w:tc>
        <w:tc>
          <w:tcPr>
            <w:tcW w:w="3898" w:type="dxa"/>
            <w:tcBorders>
              <w:bottom w:val="single" w:sz="4" w:space="0" w:color="auto"/>
            </w:tcBorders>
            <w:shd w:val="clear" w:color="auto" w:fill="F2F2F2" w:themeFill="background1" w:themeFillShade="F2"/>
          </w:tcPr>
          <w:p w14:paraId="6DF95005" w14:textId="77777777" w:rsidR="00627B24" w:rsidRPr="00627DA0" w:rsidRDefault="00627B24" w:rsidP="00460075">
            <w:pPr>
              <w:rPr>
                <w:rFonts w:cs="Calibri Light"/>
                <w:sz w:val="20"/>
                <w:szCs w:val="20"/>
              </w:rPr>
            </w:pPr>
            <w:r w:rsidRPr="00627DA0">
              <w:rPr>
                <w:rFonts w:cs="Calibri Light"/>
                <w:sz w:val="20"/>
                <w:szCs w:val="20"/>
              </w:rPr>
              <w:t>Water/Wastewater</w:t>
            </w:r>
          </w:p>
        </w:tc>
        <w:tc>
          <w:tcPr>
            <w:tcW w:w="3117" w:type="dxa"/>
            <w:tcBorders>
              <w:bottom w:val="single" w:sz="4" w:space="0" w:color="auto"/>
            </w:tcBorders>
            <w:shd w:val="clear" w:color="auto" w:fill="F2F2F2" w:themeFill="background1" w:themeFillShade="F2"/>
          </w:tcPr>
          <w:p w14:paraId="107FC276"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05D0762E" w14:textId="77777777" w:rsidTr="00460075">
        <w:tc>
          <w:tcPr>
            <w:tcW w:w="2335" w:type="dxa"/>
            <w:tcBorders>
              <w:top w:val="single" w:sz="4" w:space="0" w:color="auto"/>
            </w:tcBorders>
          </w:tcPr>
          <w:p w14:paraId="7BBA7354" w14:textId="77777777" w:rsidR="00627B24" w:rsidRPr="00627DA0" w:rsidRDefault="00627B24" w:rsidP="00460075">
            <w:pPr>
              <w:rPr>
                <w:rFonts w:cs="Calibri Light"/>
                <w:sz w:val="20"/>
                <w:szCs w:val="20"/>
              </w:rPr>
            </w:pPr>
            <w:r w:rsidRPr="00627DA0">
              <w:rPr>
                <w:rFonts w:cs="Calibri Light"/>
                <w:sz w:val="20"/>
                <w:szCs w:val="20"/>
              </w:rPr>
              <w:t>Compressed Air</w:t>
            </w:r>
          </w:p>
        </w:tc>
        <w:tc>
          <w:tcPr>
            <w:tcW w:w="3898" w:type="dxa"/>
            <w:tcBorders>
              <w:top w:val="single" w:sz="4" w:space="0" w:color="auto"/>
            </w:tcBorders>
          </w:tcPr>
          <w:p w14:paraId="3AE752C7" w14:textId="77777777" w:rsidR="00627B24" w:rsidRPr="00627DA0" w:rsidRDefault="00627B24" w:rsidP="00460075">
            <w:pPr>
              <w:rPr>
                <w:rFonts w:cs="Calibri Light"/>
                <w:sz w:val="20"/>
                <w:szCs w:val="20"/>
              </w:rPr>
            </w:pPr>
            <w:r w:rsidRPr="00627DA0">
              <w:rPr>
                <w:rFonts w:cs="Calibri Light"/>
                <w:sz w:val="20"/>
                <w:szCs w:val="20"/>
              </w:rPr>
              <w:t>Air Compressor</w:t>
            </w:r>
          </w:p>
        </w:tc>
        <w:tc>
          <w:tcPr>
            <w:tcW w:w="3117" w:type="dxa"/>
            <w:tcBorders>
              <w:top w:val="single" w:sz="4" w:space="0" w:color="auto"/>
            </w:tcBorders>
          </w:tcPr>
          <w:p w14:paraId="575F8079"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4FB95B92" w14:textId="77777777" w:rsidTr="00460075">
        <w:tc>
          <w:tcPr>
            <w:tcW w:w="2335" w:type="dxa"/>
          </w:tcPr>
          <w:p w14:paraId="29527C7B" w14:textId="77777777" w:rsidR="00627B24" w:rsidRPr="00627DA0" w:rsidRDefault="00627B24" w:rsidP="00460075">
            <w:pPr>
              <w:rPr>
                <w:rFonts w:cs="Calibri Light"/>
                <w:sz w:val="20"/>
                <w:szCs w:val="20"/>
              </w:rPr>
            </w:pPr>
          </w:p>
        </w:tc>
        <w:tc>
          <w:tcPr>
            <w:tcW w:w="3898" w:type="dxa"/>
            <w:shd w:val="clear" w:color="auto" w:fill="F2F2F2" w:themeFill="background1" w:themeFillShade="F2"/>
          </w:tcPr>
          <w:p w14:paraId="5C7E563F" w14:textId="77777777" w:rsidR="00627B24" w:rsidRPr="00627DA0" w:rsidRDefault="00627B24" w:rsidP="00460075">
            <w:pPr>
              <w:rPr>
                <w:rFonts w:cs="Calibri Light"/>
                <w:sz w:val="20"/>
                <w:szCs w:val="20"/>
              </w:rPr>
            </w:pPr>
            <w:r w:rsidRPr="00627DA0">
              <w:rPr>
                <w:rFonts w:cs="Calibri Light"/>
                <w:sz w:val="20"/>
                <w:szCs w:val="20"/>
              </w:rPr>
              <w:t>Air Compressors</w:t>
            </w:r>
          </w:p>
        </w:tc>
        <w:tc>
          <w:tcPr>
            <w:tcW w:w="3117" w:type="dxa"/>
            <w:shd w:val="clear" w:color="auto" w:fill="F2F2F2" w:themeFill="background1" w:themeFillShade="F2"/>
          </w:tcPr>
          <w:p w14:paraId="75BF8760"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19516CF6" w14:textId="77777777" w:rsidTr="00460075">
        <w:tc>
          <w:tcPr>
            <w:tcW w:w="2335" w:type="dxa"/>
            <w:tcBorders>
              <w:bottom w:val="single" w:sz="4" w:space="0" w:color="auto"/>
            </w:tcBorders>
          </w:tcPr>
          <w:p w14:paraId="14FAC6E2" w14:textId="77777777" w:rsidR="00627B24" w:rsidRPr="00627DA0" w:rsidRDefault="00627B24" w:rsidP="00460075">
            <w:pPr>
              <w:rPr>
                <w:rFonts w:cs="Calibri Light"/>
                <w:sz w:val="20"/>
                <w:szCs w:val="20"/>
              </w:rPr>
            </w:pPr>
          </w:p>
        </w:tc>
        <w:tc>
          <w:tcPr>
            <w:tcW w:w="3898" w:type="dxa"/>
            <w:tcBorders>
              <w:bottom w:val="single" w:sz="4" w:space="0" w:color="auto"/>
            </w:tcBorders>
          </w:tcPr>
          <w:p w14:paraId="73AC9395" w14:textId="77777777" w:rsidR="00627B24" w:rsidRPr="00627DA0" w:rsidRDefault="00627B24" w:rsidP="00460075">
            <w:pPr>
              <w:rPr>
                <w:rFonts w:cs="Calibri Light"/>
                <w:sz w:val="20"/>
                <w:szCs w:val="20"/>
              </w:rPr>
            </w:pPr>
            <w:r w:rsidRPr="00627DA0">
              <w:rPr>
                <w:rFonts w:cs="Calibri Light"/>
                <w:sz w:val="20"/>
                <w:szCs w:val="20"/>
              </w:rPr>
              <w:t>Compressed Air Demand Reduction</w:t>
            </w:r>
          </w:p>
        </w:tc>
        <w:tc>
          <w:tcPr>
            <w:tcW w:w="3117" w:type="dxa"/>
            <w:tcBorders>
              <w:bottom w:val="single" w:sz="4" w:space="0" w:color="auto"/>
            </w:tcBorders>
          </w:tcPr>
          <w:p w14:paraId="3EA69FE8"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3C7CFE75" w14:textId="77777777" w:rsidTr="00460075">
        <w:tc>
          <w:tcPr>
            <w:tcW w:w="2335" w:type="dxa"/>
            <w:tcBorders>
              <w:top w:val="single" w:sz="4" w:space="0" w:color="auto"/>
            </w:tcBorders>
          </w:tcPr>
          <w:p w14:paraId="63CDDF80" w14:textId="77777777" w:rsidR="00627B24" w:rsidRPr="00627DA0" w:rsidRDefault="00627B24" w:rsidP="00460075">
            <w:pPr>
              <w:rPr>
                <w:rFonts w:cs="Calibri Light"/>
                <w:sz w:val="20"/>
                <w:szCs w:val="20"/>
              </w:rPr>
            </w:pPr>
            <w:r w:rsidRPr="00627DA0">
              <w:rPr>
                <w:rFonts w:cs="Calibri Light"/>
                <w:sz w:val="20"/>
                <w:szCs w:val="20"/>
              </w:rPr>
              <w:t>Fans and Blowers</w:t>
            </w:r>
          </w:p>
        </w:tc>
        <w:tc>
          <w:tcPr>
            <w:tcW w:w="3898" w:type="dxa"/>
            <w:tcBorders>
              <w:top w:val="single" w:sz="4" w:space="0" w:color="auto"/>
            </w:tcBorders>
            <w:shd w:val="clear" w:color="auto" w:fill="F2F2F2" w:themeFill="background1" w:themeFillShade="F2"/>
          </w:tcPr>
          <w:p w14:paraId="6C040BF0" w14:textId="77777777" w:rsidR="00627B24" w:rsidRPr="00627DA0" w:rsidRDefault="00627B24" w:rsidP="00460075">
            <w:pPr>
              <w:rPr>
                <w:rFonts w:cs="Calibri Light"/>
                <w:sz w:val="20"/>
                <w:szCs w:val="20"/>
              </w:rPr>
            </w:pPr>
            <w:r w:rsidRPr="00627DA0">
              <w:rPr>
                <w:rFonts w:cs="Calibri Light"/>
                <w:sz w:val="20"/>
                <w:szCs w:val="20"/>
              </w:rPr>
              <w:t>Fan Optimization</w:t>
            </w:r>
          </w:p>
        </w:tc>
        <w:tc>
          <w:tcPr>
            <w:tcW w:w="3117" w:type="dxa"/>
            <w:tcBorders>
              <w:top w:val="single" w:sz="4" w:space="0" w:color="auto"/>
            </w:tcBorders>
            <w:shd w:val="clear" w:color="auto" w:fill="F2F2F2" w:themeFill="background1" w:themeFillShade="F2"/>
          </w:tcPr>
          <w:p w14:paraId="724AD93D"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22D5D3EC" w14:textId="77777777" w:rsidTr="00460075">
        <w:tc>
          <w:tcPr>
            <w:tcW w:w="2335" w:type="dxa"/>
            <w:tcBorders>
              <w:bottom w:val="single" w:sz="4" w:space="0" w:color="auto"/>
            </w:tcBorders>
          </w:tcPr>
          <w:p w14:paraId="223AADBD" w14:textId="77777777" w:rsidR="00627B24" w:rsidRPr="00627DA0" w:rsidRDefault="00627B24" w:rsidP="00460075">
            <w:pPr>
              <w:rPr>
                <w:rFonts w:cs="Calibri Light"/>
                <w:sz w:val="20"/>
                <w:szCs w:val="20"/>
              </w:rPr>
            </w:pPr>
          </w:p>
        </w:tc>
        <w:tc>
          <w:tcPr>
            <w:tcW w:w="3898" w:type="dxa"/>
            <w:tcBorders>
              <w:bottom w:val="single" w:sz="4" w:space="0" w:color="auto"/>
            </w:tcBorders>
          </w:tcPr>
          <w:p w14:paraId="40280054" w14:textId="77777777" w:rsidR="00627B24" w:rsidRPr="00627DA0" w:rsidRDefault="00627B24" w:rsidP="00460075">
            <w:pPr>
              <w:rPr>
                <w:rFonts w:cs="Calibri Light"/>
                <w:sz w:val="20"/>
                <w:szCs w:val="20"/>
              </w:rPr>
            </w:pPr>
            <w:r w:rsidRPr="00627DA0">
              <w:rPr>
                <w:rFonts w:cs="Calibri Light"/>
                <w:sz w:val="20"/>
                <w:szCs w:val="20"/>
              </w:rPr>
              <w:t>Fans</w:t>
            </w:r>
          </w:p>
        </w:tc>
        <w:tc>
          <w:tcPr>
            <w:tcW w:w="3117" w:type="dxa"/>
            <w:tcBorders>
              <w:bottom w:val="single" w:sz="4" w:space="0" w:color="auto"/>
            </w:tcBorders>
          </w:tcPr>
          <w:p w14:paraId="59A17A18" w14:textId="77777777" w:rsidR="00627B24" w:rsidRPr="00627DA0" w:rsidRDefault="00627B24" w:rsidP="00460075">
            <w:pPr>
              <w:rPr>
                <w:rFonts w:cs="Calibri Light"/>
                <w:sz w:val="20"/>
                <w:szCs w:val="20"/>
              </w:rPr>
            </w:pPr>
            <w:r w:rsidRPr="00627DA0">
              <w:rPr>
                <w:sz w:val="20"/>
                <w:szCs w:val="20"/>
              </w:rPr>
              <w:t>2021 Power Plan, RTF</w:t>
            </w:r>
          </w:p>
        </w:tc>
      </w:tr>
      <w:tr w:rsidR="00627B24" w:rsidRPr="00627DA0" w14:paraId="231BD57A" w14:textId="77777777" w:rsidTr="00460075">
        <w:tc>
          <w:tcPr>
            <w:tcW w:w="2335" w:type="dxa"/>
            <w:tcBorders>
              <w:top w:val="single" w:sz="4" w:space="0" w:color="auto"/>
              <w:bottom w:val="single" w:sz="4" w:space="0" w:color="auto"/>
            </w:tcBorders>
          </w:tcPr>
          <w:p w14:paraId="002FB91D" w14:textId="77777777" w:rsidR="00627B24" w:rsidRPr="00627DA0" w:rsidRDefault="00627B24" w:rsidP="00460075">
            <w:pPr>
              <w:rPr>
                <w:rFonts w:cs="Calibri Light"/>
                <w:sz w:val="20"/>
                <w:szCs w:val="20"/>
              </w:rPr>
            </w:pPr>
            <w:r w:rsidRPr="00627DA0">
              <w:rPr>
                <w:rFonts w:cs="Calibri Light"/>
                <w:sz w:val="20"/>
                <w:szCs w:val="20"/>
              </w:rPr>
              <w:t>HVAC</w:t>
            </w:r>
          </w:p>
        </w:tc>
        <w:tc>
          <w:tcPr>
            <w:tcW w:w="3898" w:type="dxa"/>
            <w:tcBorders>
              <w:top w:val="single" w:sz="4" w:space="0" w:color="auto"/>
              <w:bottom w:val="single" w:sz="4" w:space="0" w:color="auto"/>
            </w:tcBorders>
            <w:shd w:val="clear" w:color="auto" w:fill="F2F2F2" w:themeFill="background1" w:themeFillShade="F2"/>
          </w:tcPr>
          <w:p w14:paraId="41DD3FBD" w14:textId="77777777" w:rsidR="00627B24" w:rsidRPr="00627DA0" w:rsidRDefault="00627B24" w:rsidP="00460075">
            <w:pPr>
              <w:rPr>
                <w:rFonts w:cs="Calibri Light"/>
                <w:sz w:val="20"/>
                <w:szCs w:val="20"/>
              </w:rPr>
            </w:pPr>
            <w:r w:rsidRPr="00627DA0">
              <w:rPr>
                <w:rFonts w:cs="Calibri Light"/>
                <w:sz w:val="20"/>
                <w:szCs w:val="20"/>
              </w:rPr>
              <w:t>HVAC</w:t>
            </w:r>
          </w:p>
        </w:tc>
        <w:tc>
          <w:tcPr>
            <w:tcW w:w="3117" w:type="dxa"/>
            <w:tcBorders>
              <w:top w:val="single" w:sz="4" w:space="0" w:color="auto"/>
              <w:bottom w:val="single" w:sz="4" w:space="0" w:color="auto"/>
            </w:tcBorders>
            <w:shd w:val="clear" w:color="auto" w:fill="F2F2F2" w:themeFill="background1" w:themeFillShade="F2"/>
          </w:tcPr>
          <w:p w14:paraId="5FE303F6"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56165580" w14:textId="77777777" w:rsidTr="00460075">
        <w:tc>
          <w:tcPr>
            <w:tcW w:w="2335" w:type="dxa"/>
            <w:tcBorders>
              <w:top w:val="single" w:sz="4" w:space="0" w:color="auto"/>
            </w:tcBorders>
          </w:tcPr>
          <w:p w14:paraId="7DD96C61" w14:textId="77777777" w:rsidR="00627B24" w:rsidRPr="00627DA0" w:rsidRDefault="00627B24" w:rsidP="00460075">
            <w:pPr>
              <w:rPr>
                <w:rFonts w:cs="Calibri Light"/>
                <w:sz w:val="20"/>
                <w:szCs w:val="20"/>
              </w:rPr>
            </w:pPr>
            <w:r w:rsidRPr="00627DA0">
              <w:rPr>
                <w:rFonts w:cs="Calibri Light"/>
                <w:sz w:val="20"/>
                <w:szCs w:val="20"/>
              </w:rPr>
              <w:t>Lighting</w:t>
            </w:r>
          </w:p>
        </w:tc>
        <w:tc>
          <w:tcPr>
            <w:tcW w:w="3898" w:type="dxa"/>
            <w:tcBorders>
              <w:top w:val="single" w:sz="4" w:space="0" w:color="auto"/>
            </w:tcBorders>
          </w:tcPr>
          <w:p w14:paraId="191FB4E2" w14:textId="77777777" w:rsidR="00627B24" w:rsidRPr="00627DA0" w:rsidRDefault="00627B24" w:rsidP="00460075">
            <w:pPr>
              <w:rPr>
                <w:rFonts w:cs="Calibri Light"/>
                <w:sz w:val="20"/>
                <w:szCs w:val="20"/>
              </w:rPr>
            </w:pPr>
            <w:r w:rsidRPr="00627DA0">
              <w:rPr>
                <w:rFonts w:cs="Calibri Light"/>
                <w:sz w:val="20"/>
                <w:szCs w:val="20"/>
              </w:rPr>
              <w:t>High Bay Lighting</w:t>
            </w:r>
          </w:p>
        </w:tc>
        <w:tc>
          <w:tcPr>
            <w:tcW w:w="3117" w:type="dxa"/>
            <w:tcBorders>
              <w:top w:val="single" w:sz="4" w:space="0" w:color="auto"/>
            </w:tcBorders>
          </w:tcPr>
          <w:p w14:paraId="706B0E73"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6689645D" w14:textId="77777777" w:rsidTr="00460075">
        <w:tc>
          <w:tcPr>
            <w:tcW w:w="2335" w:type="dxa"/>
          </w:tcPr>
          <w:p w14:paraId="31DAF5EE" w14:textId="77777777" w:rsidR="00627B24" w:rsidRPr="00627DA0" w:rsidRDefault="00627B24" w:rsidP="00460075">
            <w:pPr>
              <w:rPr>
                <w:rFonts w:cs="Calibri Light"/>
                <w:sz w:val="20"/>
                <w:szCs w:val="20"/>
              </w:rPr>
            </w:pPr>
          </w:p>
        </w:tc>
        <w:tc>
          <w:tcPr>
            <w:tcW w:w="3898" w:type="dxa"/>
            <w:shd w:val="clear" w:color="auto" w:fill="F2F2F2" w:themeFill="background1" w:themeFillShade="F2"/>
          </w:tcPr>
          <w:p w14:paraId="38196A8D" w14:textId="77777777" w:rsidR="00627B24" w:rsidRPr="00627DA0" w:rsidRDefault="00627B24" w:rsidP="00460075">
            <w:pPr>
              <w:rPr>
                <w:rFonts w:cs="Calibri Light"/>
                <w:sz w:val="20"/>
                <w:szCs w:val="20"/>
              </w:rPr>
            </w:pPr>
            <w:r w:rsidRPr="00627DA0">
              <w:rPr>
                <w:rFonts w:cs="Calibri Light"/>
                <w:sz w:val="20"/>
                <w:szCs w:val="20"/>
              </w:rPr>
              <w:t>Lighting</w:t>
            </w:r>
          </w:p>
        </w:tc>
        <w:tc>
          <w:tcPr>
            <w:tcW w:w="3117" w:type="dxa"/>
            <w:shd w:val="clear" w:color="auto" w:fill="F2F2F2" w:themeFill="background1" w:themeFillShade="F2"/>
          </w:tcPr>
          <w:p w14:paraId="42197AD0"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5BB0A5B3" w14:textId="77777777" w:rsidTr="00460075">
        <w:tc>
          <w:tcPr>
            <w:tcW w:w="2335" w:type="dxa"/>
            <w:tcBorders>
              <w:bottom w:val="single" w:sz="4" w:space="0" w:color="auto"/>
            </w:tcBorders>
          </w:tcPr>
          <w:p w14:paraId="3FDC25B7" w14:textId="77777777" w:rsidR="00627B24" w:rsidRPr="00627DA0" w:rsidRDefault="00627B24" w:rsidP="00460075">
            <w:pPr>
              <w:rPr>
                <w:rFonts w:cs="Calibri Light"/>
                <w:sz w:val="20"/>
                <w:szCs w:val="20"/>
              </w:rPr>
            </w:pPr>
          </w:p>
        </w:tc>
        <w:tc>
          <w:tcPr>
            <w:tcW w:w="3898" w:type="dxa"/>
            <w:tcBorders>
              <w:bottom w:val="single" w:sz="4" w:space="0" w:color="auto"/>
            </w:tcBorders>
          </w:tcPr>
          <w:p w14:paraId="7B9FC6D4" w14:textId="77777777" w:rsidR="00627B24" w:rsidRPr="00627DA0" w:rsidRDefault="00627B24" w:rsidP="00460075">
            <w:pPr>
              <w:rPr>
                <w:rFonts w:cs="Calibri Light"/>
                <w:sz w:val="20"/>
                <w:szCs w:val="20"/>
              </w:rPr>
            </w:pPr>
            <w:r w:rsidRPr="00627DA0">
              <w:rPr>
                <w:rFonts w:cs="Calibri Light"/>
                <w:sz w:val="20"/>
                <w:szCs w:val="20"/>
              </w:rPr>
              <w:t>Lighting Controls</w:t>
            </w:r>
          </w:p>
        </w:tc>
        <w:tc>
          <w:tcPr>
            <w:tcW w:w="3117" w:type="dxa"/>
            <w:tcBorders>
              <w:bottom w:val="single" w:sz="4" w:space="0" w:color="auto"/>
            </w:tcBorders>
          </w:tcPr>
          <w:p w14:paraId="3B9B9BB1"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2560C699" w14:textId="77777777" w:rsidTr="00460075">
        <w:tc>
          <w:tcPr>
            <w:tcW w:w="2335" w:type="dxa"/>
            <w:tcBorders>
              <w:top w:val="single" w:sz="4" w:space="0" w:color="auto"/>
            </w:tcBorders>
          </w:tcPr>
          <w:p w14:paraId="22D19A0C" w14:textId="77777777" w:rsidR="00627B24" w:rsidRPr="00627DA0" w:rsidRDefault="00627B24" w:rsidP="00460075">
            <w:pPr>
              <w:rPr>
                <w:rFonts w:cs="Calibri Light"/>
                <w:sz w:val="20"/>
                <w:szCs w:val="20"/>
              </w:rPr>
            </w:pPr>
            <w:r w:rsidRPr="00627DA0">
              <w:rPr>
                <w:rFonts w:cs="Calibri Light"/>
                <w:sz w:val="20"/>
                <w:szCs w:val="20"/>
              </w:rPr>
              <w:t>Low Temp Refer</w:t>
            </w:r>
          </w:p>
        </w:tc>
        <w:tc>
          <w:tcPr>
            <w:tcW w:w="3898" w:type="dxa"/>
            <w:tcBorders>
              <w:top w:val="single" w:sz="4" w:space="0" w:color="auto"/>
            </w:tcBorders>
            <w:shd w:val="clear" w:color="auto" w:fill="F2F2F2" w:themeFill="background1" w:themeFillShade="F2"/>
          </w:tcPr>
          <w:p w14:paraId="5E0F85EA"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tcBorders>
              <w:top w:val="single" w:sz="4" w:space="0" w:color="auto"/>
            </w:tcBorders>
            <w:shd w:val="clear" w:color="auto" w:fill="F2F2F2" w:themeFill="background1" w:themeFillShade="F2"/>
          </w:tcPr>
          <w:p w14:paraId="14914DC2"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6DBA2F89" w14:textId="77777777" w:rsidTr="00460075">
        <w:tc>
          <w:tcPr>
            <w:tcW w:w="2335" w:type="dxa"/>
            <w:tcBorders>
              <w:bottom w:val="single" w:sz="4" w:space="0" w:color="auto"/>
            </w:tcBorders>
          </w:tcPr>
          <w:p w14:paraId="0CAF9B20" w14:textId="77777777" w:rsidR="00627B24" w:rsidRPr="00627DA0" w:rsidRDefault="00627B24" w:rsidP="00460075">
            <w:pPr>
              <w:rPr>
                <w:rFonts w:cs="Calibri Light"/>
                <w:sz w:val="20"/>
                <w:szCs w:val="20"/>
              </w:rPr>
            </w:pPr>
          </w:p>
        </w:tc>
        <w:tc>
          <w:tcPr>
            <w:tcW w:w="3898" w:type="dxa"/>
            <w:tcBorders>
              <w:bottom w:val="single" w:sz="4" w:space="0" w:color="auto"/>
            </w:tcBorders>
          </w:tcPr>
          <w:p w14:paraId="47DECF4D" w14:textId="77777777" w:rsidR="00627B24" w:rsidRPr="00627DA0" w:rsidRDefault="00627B24" w:rsidP="00460075">
            <w:pPr>
              <w:rPr>
                <w:rFonts w:cs="Calibri Light"/>
                <w:sz w:val="20"/>
                <w:szCs w:val="20"/>
              </w:rPr>
            </w:pPr>
            <w:r w:rsidRPr="00627DA0">
              <w:rPr>
                <w:rFonts w:cs="Calibri Light"/>
                <w:sz w:val="20"/>
                <w:szCs w:val="20"/>
              </w:rPr>
              <w:t>Refrigeration Retrofit</w:t>
            </w:r>
          </w:p>
        </w:tc>
        <w:tc>
          <w:tcPr>
            <w:tcW w:w="3117" w:type="dxa"/>
            <w:tcBorders>
              <w:bottom w:val="single" w:sz="4" w:space="0" w:color="auto"/>
            </w:tcBorders>
          </w:tcPr>
          <w:p w14:paraId="49C38B0C"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34D84B42" w14:textId="77777777" w:rsidTr="00460075">
        <w:tc>
          <w:tcPr>
            <w:tcW w:w="2335" w:type="dxa"/>
            <w:tcBorders>
              <w:top w:val="single" w:sz="4" w:space="0" w:color="auto"/>
            </w:tcBorders>
          </w:tcPr>
          <w:p w14:paraId="1ABE955B" w14:textId="77777777" w:rsidR="00627B24" w:rsidRPr="00627DA0" w:rsidRDefault="00627B24" w:rsidP="00460075">
            <w:pPr>
              <w:rPr>
                <w:rFonts w:cs="Calibri Light"/>
                <w:sz w:val="20"/>
                <w:szCs w:val="20"/>
              </w:rPr>
            </w:pPr>
            <w:r w:rsidRPr="00627DA0">
              <w:rPr>
                <w:rFonts w:cs="Calibri Light"/>
                <w:sz w:val="20"/>
                <w:szCs w:val="20"/>
              </w:rPr>
              <w:t>Material Handling</w:t>
            </w:r>
          </w:p>
        </w:tc>
        <w:tc>
          <w:tcPr>
            <w:tcW w:w="3898" w:type="dxa"/>
            <w:tcBorders>
              <w:top w:val="single" w:sz="4" w:space="0" w:color="auto"/>
            </w:tcBorders>
            <w:shd w:val="clear" w:color="auto" w:fill="F2F2F2" w:themeFill="background1" w:themeFillShade="F2"/>
          </w:tcPr>
          <w:p w14:paraId="1C747DD5"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tcBorders>
              <w:top w:val="single" w:sz="4" w:space="0" w:color="auto"/>
            </w:tcBorders>
            <w:shd w:val="clear" w:color="auto" w:fill="F2F2F2" w:themeFill="background1" w:themeFillShade="F2"/>
          </w:tcPr>
          <w:p w14:paraId="3C0C0994"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3D4E11C0" w14:textId="77777777" w:rsidTr="00460075">
        <w:tc>
          <w:tcPr>
            <w:tcW w:w="2335" w:type="dxa"/>
          </w:tcPr>
          <w:p w14:paraId="68CBEA4E" w14:textId="77777777" w:rsidR="00627B24" w:rsidRPr="00627DA0" w:rsidRDefault="00627B24" w:rsidP="00460075">
            <w:pPr>
              <w:rPr>
                <w:rFonts w:cs="Calibri Light"/>
                <w:sz w:val="20"/>
                <w:szCs w:val="20"/>
              </w:rPr>
            </w:pPr>
          </w:p>
        </w:tc>
        <w:tc>
          <w:tcPr>
            <w:tcW w:w="3898" w:type="dxa"/>
          </w:tcPr>
          <w:p w14:paraId="71E8AF8A" w14:textId="77777777" w:rsidR="00627B24" w:rsidRPr="00627DA0" w:rsidRDefault="00627B24" w:rsidP="00460075">
            <w:pPr>
              <w:rPr>
                <w:rFonts w:cs="Calibri Light"/>
                <w:sz w:val="20"/>
                <w:szCs w:val="20"/>
              </w:rPr>
            </w:pPr>
            <w:r w:rsidRPr="00627DA0">
              <w:rPr>
                <w:rFonts w:cs="Calibri Light"/>
                <w:sz w:val="20"/>
                <w:szCs w:val="20"/>
              </w:rPr>
              <w:t>Paper</w:t>
            </w:r>
          </w:p>
        </w:tc>
        <w:tc>
          <w:tcPr>
            <w:tcW w:w="3117" w:type="dxa"/>
          </w:tcPr>
          <w:p w14:paraId="06A32EFB"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68552026" w14:textId="77777777" w:rsidTr="00460075">
        <w:tc>
          <w:tcPr>
            <w:tcW w:w="2335" w:type="dxa"/>
            <w:tcBorders>
              <w:bottom w:val="single" w:sz="4" w:space="0" w:color="auto"/>
            </w:tcBorders>
          </w:tcPr>
          <w:p w14:paraId="770BBFEC" w14:textId="77777777" w:rsidR="00627B24" w:rsidRPr="00627DA0" w:rsidRDefault="00627B24" w:rsidP="00460075">
            <w:pPr>
              <w:rPr>
                <w:rFonts w:cs="Calibri Light"/>
                <w:sz w:val="20"/>
                <w:szCs w:val="20"/>
              </w:rPr>
            </w:pPr>
          </w:p>
        </w:tc>
        <w:tc>
          <w:tcPr>
            <w:tcW w:w="3898" w:type="dxa"/>
            <w:tcBorders>
              <w:bottom w:val="single" w:sz="4" w:space="0" w:color="auto"/>
            </w:tcBorders>
            <w:shd w:val="clear" w:color="auto" w:fill="F2F2F2" w:themeFill="background1" w:themeFillShade="F2"/>
          </w:tcPr>
          <w:p w14:paraId="18CEC463" w14:textId="77777777" w:rsidR="00627B24" w:rsidRPr="00627DA0" w:rsidRDefault="00627B24" w:rsidP="00460075">
            <w:pPr>
              <w:rPr>
                <w:rFonts w:cs="Calibri Light"/>
                <w:sz w:val="20"/>
                <w:szCs w:val="20"/>
              </w:rPr>
            </w:pPr>
            <w:r w:rsidRPr="00627DA0">
              <w:rPr>
                <w:rFonts w:cs="Calibri Light"/>
                <w:sz w:val="20"/>
                <w:szCs w:val="20"/>
              </w:rPr>
              <w:t>Wood Products</w:t>
            </w:r>
          </w:p>
        </w:tc>
        <w:tc>
          <w:tcPr>
            <w:tcW w:w="3117" w:type="dxa"/>
            <w:tcBorders>
              <w:bottom w:val="single" w:sz="4" w:space="0" w:color="auto"/>
            </w:tcBorders>
            <w:shd w:val="clear" w:color="auto" w:fill="F2F2F2" w:themeFill="background1" w:themeFillShade="F2"/>
          </w:tcPr>
          <w:p w14:paraId="4F50C2FC"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7797A9B1" w14:textId="77777777" w:rsidTr="00460075">
        <w:tc>
          <w:tcPr>
            <w:tcW w:w="2335" w:type="dxa"/>
            <w:tcBorders>
              <w:top w:val="single" w:sz="4" w:space="0" w:color="auto"/>
            </w:tcBorders>
          </w:tcPr>
          <w:p w14:paraId="24BF5382" w14:textId="77777777" w:rsidR="00627B24" w:rsidRPr="00627DA0" w:rsidRDefault="00627B24" w:rsidP="00460075">
            <w:pPr>
              <w:rPr>
                <w:rFonts w:cs="Calibri Light"/>
                <w:sz w:val="20"/>
                <w:szCs w:val="20"/>
              </w:rPr>
            </w:pPr>
            <w:r w:rsidRPr="00627DA0">
              <w:rPr>
                <w:rFonts w:cs="Calibri Light"/>
                <w:sz w:val="20"/>
                <w:szCs w:val="20"/>
              </w:rPr>
              <w:t>Material Processing</w:t>
            </w:r>
          </w:p>
        </w:tc>
        <w:tc>
          <w:tcPr>
            <w:tcW w:w="3898" w:type="dxa"/>
            <w:tcBorders>
              <w:top w:val="single" w:sz="4" w:space="0" w:color="auto"/>
            </w:tcBorders>
          </w:tcPr>
          <w:p w14:paraId="5AF365D0" w14:textId="77777777" w:rsidR="00627B24" w:rsidRPr="00627DA0" w:rsidRDefault="00627B24" w:rsidP="00460075">
            <w:pPr>
              <w:rPr>
                <w:rFonts w:cs="Calibri Light"/>
                <w:sz w:val="20"/>
                <w:szCs w:val="20"/>
              </w:rPr>
            </w:pPr>
            <w:r w:rsidRPr="00627DA0">
              <w:rPr>
                <w:rFonts w:cs="Calibri Light"/>
                <w:sz w:val="20"/>
                <w:szCs w:val="20"/>
              </w:rPr>
              <w:t>Hi-Tech</w:t>
            </w:r>
          </w:p>
        </w:tc>
        <w:tc>
          <w:tcPr>
            <w:tcW w:w="3117" w:type="dxa"/>
            <w:tcBorders>
              <w:top w:val="single" w:sz="4" w:space="0" w:color="auto"/>
            </w:tcBorders>
          </w:tcPr>
          <w:p w14:paraId="4695B042"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067071ED" w14:textId="77777777" w:rsidTr="00460075">
        <w:tc>
          <w:tcPr>
            <w:tcW w:w="2335" w:type="dxa"/>
          </w:tcPr>
          <w:p w14:paraId="1055E3B7" w14:textId="77777777" w:rsidR="00627B24" w:rsidRPr="00627DA0" w:rsidRDefault="00627B24" w:rsidP="00460075">
            <w:pPr>
              <w:rPr>
                <w:rFonts w:cs="Calibri Light"/>
                <w:sz w:val="20"/>
                <w:szCs w:val="20"/>
              </w:rPr>
            </w:pPr>
          </w:p>
        </w:tc>
        <w:tc>
          <w:tcPr>
            <w:tcW w:w="3898" w:type="dxa"/>
            <w:shd w:val="clear" w:color="auto" w:fill="F2F2F2" w:themeFill="background1" w:themeFillShade="F2"/>
          </w:tcPr>
          <w:p w14:paraId="4A0D930F"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shd w:val="clear" w:color="auto" w:fill="F2F2F2" w:themeFill="background1" w:themeFillShade="F2"/>
          </w:tcPr>
          <w:p w14:paraId="05CF8D68"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1ADFCE24" w14:textId="77777777" w:rsidTr="00460075">
        <w:tc>
          <w:tcPr>
            <w:tcW w:w="2335" w:type="dxa"/>
          </w:tcPr>
          <w:p w14:paraId="22CF4BD8" w14:textId="77777777" w:rsidR="00627B24" w:rsidRPr="00627DA0" w:rsidRDefault="00627B24" w:rsidP="00460075">
            <w:pPr>
              <w:rPr>
                <w:rFonts w:cs="Calibri Light"/>
                <w:sz w:val="20"/>
                <w:szCs w:val="20"/>
              </w:rPr>
            </w:pPr>
          </w:p>
        </w:tc>
        <w:tc>
          <w:tcPr>
            <w:tcW w:w="3898" w:type="dxa"/>
          </w:tcPr>
          <w:p w14:paraId="059D6089" w14:textId="77777777" w:rsidR="00627B24" w:rsidRPr="00627DA0" w:rsidRDefault="00627B24" w:rsidP="00460075">
            <w:pPr>
              <w:rPr>
                <w:rFonts w:cs="Calibri Light"/>
                <w:sz w:val="20"/>
                <w:szCs w:val="20"/>
              </w:rPr>
            </w:pPr>
            <w:r w:rsidRPr="00627DA0">
              <w:rPr>
                <w:rFonts w:cs="Calibri Light"/>
                <w:sz w:val="20"/>
                <w:szCs w:val="20"/>
              </w:rPr>
              <w:t>Paper</w:t>
            </w:r>
          </w:p>
        </w:tc>
        <w:tc>
          <w:tcPr>
            <w:tcW w:w="3117" w:type="dxa"/>
          </w:tcPr>
          <w:p w14:paraId="018D0AB1"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0FC32E3A" w14:textId="77777777" w:rsidTr="00460075">
        <w:tc>
          <w:tcPr>
            <w:tcW w:w="2335" w:type="dxa"/>
          </w:tcPr>
          <w:p w14:paraId="16F40A82" w14:textId="77777777" w:rsidR="00627B24" w:rsidRPr="00627DA0" w:rsidRDefault="00627B24" w:rsidP="00460075">
            <w:pPr>
              <w:rPr>
                <w:rFonts w:cs="Calibri Light"/>
                <w:sz w:val="20"/>
                <w:szCs w:val="20"/>
              </w:rPr>
            </w:pPr>
          </w:p>
        </w:tc>
        <w:tc>
          <w:tcPr>
            <w:tcW w:w="3898" w:type="dxa"/>
            <w:shd w:val="clear" w:color="auto" w:fill="F2F2F2" w:themeFill="background1" w:themeFillShade="F2"/>
          </w:tcPr>
          <w:p w14:paraId="2B43CA86" w14:textId="77777777" w:rsidR="00627B24" w:rsidRPr="00627DA0" w:rsidRDefault="00627B24" w:rsidP="00460075">
            <w:pPr>
              <w:rPr>
                <w:rFonts w:cs="Calibri Light"/>
                <w:sz w:val="20"/>
                <w:szCs w:val="20"/>
              </w:rPr>
            </w:pPr>
            <w:r w:rsidRPr="00627DA0">
              <w:rPr>
                <w:rFonts w:cs="Calibri Light"/>
                <w:sz w:val="20"/>
                <w:szCs w:val="20"/>
              </w:rPr>
              <w:t>Pulp</w:t>
            </w:r>
          </w:p>
        </w:tc>
        <w:tc>
          <w:tcPr>
            <w:tcW w:w="3117" w:type="dxa"/>
            <w:shd w:val="clear" w:color="auto" w:fill="F2F2F2" w:themeFill="background1" w:themeFillShade="F2"/>
          </w:tcPr>
          <w:p w14:paraId="62BD35BB"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73FEE52E" w14:textId="77777777" w:rsidTr="00460075">
        <w:tc>
          <w:tcPr>
            <w:tcW w:w="2335" w:type="dxa"/>
            <w:tcBorders>
              <w:bottom w:val="single" w:sz="4" w:space="0" w:color="auto"/>
            </w:tcBorders>
          </w:tcPr>
          <w:p w14:paraId="4DD1166D" w14:textId="77777777" w:rsidR="00627B24" w:rsidRPr="00627DA0" w:rsidRDefault="00627B24" w:rsidP="00460075">
            <w:pPr>
              <w:rPr>
                <w:rFonts w:cs="Calibri Light"/>
                <w:sz w:val="20"/>
                <w:szCs w:val="20"/>
              </w:rPr>
            </w:pPr>
          </w:p>
        </w:tc>
        <w:tc>
          <w:tcPr>
            <w:tcW w:w="3898" w:type="dxa"/>
            <w:tcBorders>
              <w:bottom w:val="single" w:sz="4" w:space="0" w:color="auto"/>
            </w:tcBorders>
          </w:tcPr>
          <w:p w14:paraId="695625A4" w14:textId="77777777" w:rsidR="00627B24" w:rsidRPr="00627DA0" w:rsidRDefault="00627B24" w:rsidP="00460075">
            <w:pPr>
              <w:rPr>
                <w:rFonts w:cs="Calibri Light"/>
                <w:sz w:val="20"/>
                <w:szCs w:val="20"/>
              </w:rPr>
            </w:pPr>
            <w:r w:rsidRPr="00627DA0">
              <w:rPr>
                <w:rFonts w:cs="Calibri Light"/>
                <w:sz w:val="20"/>
                <w:szCs w:val="20"/>
              </w:rPr>
              <w:t>Wood Products</w:t>
            </w:r>
          </w:p>
        </w:tc>
        <w:tc>
          <w:tcPr>
            <w:tcW w:w="3117" w:type="dxa"/>
            <w:tcBorders>
              <w:bottom w:val="single" w:sz="4" w:space="0" w:color="auto"/>
            </w:tcBorders>
          </w:tcPr>
          <w:p w14:paraId="28EF00D0"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54EA681F" w14:textId="77777777" w:rsidTr="00460075">
        <w:tc>
          <w:tcPr>
            <w:tcW w:w="2335" w:type="dxa"/>
            <w:tcBorders>
              <w:top w:val="single" w:sz="4" w:space="0" w:color="auto"/>
            </w:tcBorders>
          </w:tcPr>
          <w:p w14:paraId="14AB09B4" w14:textId="77777777" w:rsidR="00627B24" w:rsidRPr="00627DA0" w:rsidRDefault="00627B24" w:rsidP="00460075">
            <w:pPr>
              <w:rPr>
                <w:rFonts w:cs="Calibri Light"/>
                <w:sz w:val="20"/>
                <w:szCs w:val="20"/>
              </w:rPr>
            </w:pPr>
            <w:r w:rsidRPr="00627DA0">
              <w:rPr>
                <w:rFonts w:cs="Calibri Light"/>
                <w:sz w:val="20"/>
                <w:szCs w:val="20"/>
              </w:rPr>
              <w:t>Med Temp Refer</w:t>
            </w:r>
          </w:p>
        </w:tc>
        <w:tc>
          <w:tcPr>
            <w:tcW w:w="3898" w:type="dxa"/>
            <w:tcBorders>
              <w:top w:val="single" w:sz="4" w:space="0" w:color="auto"/>
            </w:tcBorders>
            <w:shd w:val="clear" w:color="auto" w:fill="F2F2F2" w:themeFill="background1" w:themeFillShade="F2"/>
          </w:tcPr>
          <w:p w14:paraId="009FF8C4" w14:textId="77777777" w:rsidR="00627B24" w:rsidRPr="00627DA0" w:rsidRDefault="00627B24" w:rsidP="00460075">
            <w:pPr>
              <w:rPr>
                <w:rFonts w:cs="Calibri Light"/>
                <w:sz w:val="20"/>
                <w:szCs w:val="20"/>
              </w:rPr>
            </w:pPr>
            <w:r w:rsidRPr="00627DA0">
              <w:rPr>
                <w:rFonts w:cs="Calibri Light"/>
                <w:sz w:val="20"/>
                <w:szCs w:val="20"/>
              </w:rPr>
              <w:t>Food Storage</w:t>
            </w:r>
          </w:p>
        </w:tc>
        <w:tc>
          <w:tcPr>
            <w:tcW w:w="3117" w:type="dxa"/>
            <w:tcBorders>
              <w:top w:val="single" w:sz="4" w:space="0" w:color="auto"/>
            </w:tcBorders>
            <w:shd w:val="clear" w:color="auto" w:fill="F2F2F2" w:themeFill="background1" w:themeFillShade="F2"/>
          </w:tcPr>
          <w:p w14:paraId="1417176D"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7EDFF750" w14:textId="77777777" w:rsidTr="00460075">
        <w:tc>
          <w:tcPr>
            <w:tcW w:w="2335" w:type="dxa"/>
          </w:tcPr>
          <w:p w14:paraId="3FA94318" w14:textId="77777777" w:rsidR="00627B24" w:rsidRPr="00627DA0" w:rsidRDefault="00627B24" w:rsidP="00460075">
            <w:pPr>
              <w:rPr>
                <w:rFonts w:cs="Calibri Light"/>
                <w:sz w:val="20"/>
                <w:szCs w:val="20"/>
              </w:rPr>
            </w:pPr>
          </w:p>
        </w:tc>
        <w:tc>
          <w:tcPr>
            <w:tcW w:w="3898" w:type="dxa"/>
          </w:tcPr>
          <w:p w14:paraId="5B7FB8FF"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tcPr>
          <w:p w14:paraId="4DE90134"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47BC4ED6" w14:textId="77777777" w:rsidTr="00460075">
        <w:tc>
          <w:tcPr>
            <w:tcW w:w="2335" w:type="dxa"/>
            <w:tcBorders>
              <w:bottom w:val="single" w:sz="4" w:space="0" w:color="auto"/>
            </w:tcBorders>
          </w:tcPr>
          <w:p w14:paraId="711FA694" w14:textId="77777777" w:rsidR="00627B24" w:rsidRPr="00627DA0" w:rsidRDefault="00627B24" w:rsidP="00460075">
            <w:pPr>
              <w:rPr>
                <w:rFonts w:cs="Calibri Light"/>
                <w:sz w:val="20"/>
                <w:szCs w:val="20"/>
              </w:rPr>
            </w:pPr>
          </w:p>
        </w:tc>
        <w:tc>
          <w:tcPr>
            <w:tcW w:w="3898" w:type="dxa"/>
            <w:tcBorders>
              <w:bottom w:val="single" w:sz="4" w:space="0" w:color="auto"/>
            </w:tcBorders>
            <w:shd w:val="clear" w:color="auto" w:fill="F2F2F2" w:themeFill="background1" w:themeFillShade="F2"/>
          </w:tcPr>
          <w:p w14:paraId="664678F8" w14:textId="77777777" w:rsidR="00627B24" w:rsidRPr="00627DA0" w:rsidRDefault="00627B24" w:rsidP="00460075">
            <w:pPr>
              <w:rPr>
                <w:rFonts w:cs="Calibri Light"/>
                <w:sz w:val="20"/>
                <w:szCs w:val="20"/>
              </w:rPr>
            </w:pPr>
            <w:r w:rsidRPr="00627DA0">
              <w:rPr>
                <w:rFonts w:cs="Calibri Light"/>
                <w:sz w:val="20"/>
                <w:szCs w:val="20"/>
              </w:rPr>
              <w:t>Refrigeration Retrofit</w:t>
            </w:r>
          </w:p>
        </w:tc>
        <w:tc>
          <w:tcPr>
            <w:tcW w:w="3117" w:type="dxa"/>
            <w:tcBorders>
              <w:bottom w:val="single" w:sz="4" w:space="0" w:color="auto"/>
            </w:tcBorders>
            <w:shd w:val="clear" w:color="auto" w:fill="F2F2F2" w:themeFill="background1" w:themeFillShade="F2"/>
          </w:tcPr>
          <w:p w14:paraId="389BB004"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026EE032" w14:textId="77777777" w:rsidTr="00460075">
        <w:tc>
          <w:tcPr>
            <w:tcW w:w="2335" w:type="dxa"/>
            <w:tcBorders>
              <w:top w:val="single" w:sz="4" w:space="0" w:color="auto"/>
              <w:bottom w:val="single" w:sz="4" w:space="0" w:color="auto"/>
            </w:tcBorders>
          </w:tcPr>
          <w:p w14:paraId="1E29493A" w14:textId="77777777" w:rsidR="00627B24" w:rsidRPr="00627DA0" w:rsidRDefault="00627B24" w:rsidP="00460075">
            <w:pPr>
              <w:rPr>
                <w:rFonts w:cs="Calibri Light"/>
                <w:sz w:val="20"/>
                <w:szCs w:val="20"/>
              </w:rPr>
            </w:pPr>
            <w:r w:rsidRPr="00627DA0">
              <w:rPr>
                <w:rFonts w:cs="Calibri Light"/>
                <w:sz w:val="20"/>
                <w:szCs w:val="20"/>
              </w:rPr>
              <w:t>Melting and Casting</w:t>
            </w:r>
          </w:p>
        </w:tc>
        <w:tc>
          <w:tcPr>
            <w:tcW w:w="3898" w:type="dxa"/>
            <w:tcBorders>
              <w:top w:val="single" w:sz="4" w:space="0" w:color="auto"/>
              <w:bottom w:val="single" w:sz="4" w:space="0" w:color="auto"/>
            </w:tcBorders>
          </w:tcPr>
          <w:p w14:paraId="30EAF59C" w14:textId="77777777" w:rsidR="00627B24" w:rsidRPr="00627DA0" w:rsidRDefault="00627B24" w:rsidP="00460075">
            <w:pPr>
              <w:rPr>
                <w:rFonts w:cs="Calibri Light"/>
                <w:sz w:val="20"/>
                <w:szCs w:val="20"/>
              </w:rPr>
            </w:pPr>
            <w:r w:rsidRPr="00627DA0">
              <w:rPr>
                <w:rFonts w:cs="Calibri Light"/>
                <w:sz w:val="20"/>
                <w:szCs w:val="20"/>
              </w:rPr>
              <w:t>Metals</w:t>
            </w:r>
          </w:p>
        </w:tc>
        <w:tc>
          <w:tcPr>
            <w:tcW w:w="3117" w:type="dxa"/>
            <w:tcBorders>
              <w:top w:val="single" w:sz="4" w:space="0" w:color="auto"/>
              <w:bottom w:val="single" w:sz="4" w:space="0" w:color="auto"/>
            </w:tcBorders>
          </w:tcPr>
          <w:p w14:paraId="40DD3CB6"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21C3C7F4" w14:textId="77777777" w:rsidTr="00460075">
        <w:tc>
          <w:tcPr>
            <w:tcW w:w="2335" w:type="dxa"/>
            <w:tcBorders>
              <w:top w:val="single" w:sz="4" w:space="0" w:color="auto"/>
              <w:bottom w:val="single" w:sz="4" w:space="0" w:color="auto"/>
            </w:tcBorders>
          </w:tcPr>
          <w:p w14:paraId="729B9BFA" w14:textId="77777777" w:rsidR="00627B24" w:rsidRPr="00627DA0" w:rsidRDefault="00627B24" w:rsidP="00460075">
            <w:pPr>
              <w:rPr>
                <w:rFonts w:cs="Calibri Light"/>
                <w:sz w:val="20"/>
                <w:szCs w:val="20"/>
              </w:rPr>
            </w:pPr>
            <w:r w:rsidRPr="00627DA0">
              <w:rPr>
                <w:rFonts w:cs="Calibri Light"/>
                <w:sz w:val="20"/>
                <w:szCs w:val="20"/>
              </w:rPr>
              <w:t>Other</w:t>
            </w:r>
          </w:p>
        </w:tc>
        <w:tc>
          <w:tcPr>
            <w:tcW w:w="3898" w:type="dxa"/>
            <w:tcBorders>
              <w:top w:val="single" w:sz="4" w:space="0" w:color="auto"/>
              <w:bottom w:val="single" w:sz="4" w:space="0" w:color="auto"/>
            </w:tcBorders>
            <w:shd w:val="clear" w:color="auto" w:fill="F2F2F2" w:themeFill="background1" w:themeFillShade="F2"/>
          </w:tcPr>
          <w:p w14:paraId="56BBC067" w14:textId="77777777" w:rsidR="00627B24" w:rsidRPr="00627DA0" w:rsidRDefault="00627B24" w:rsidP="00460075">
            <w:pPr>
              <w:rPr>
                <w:rFonts w:cs="Calibri Light"/>
                <w:sz w:val="20"/>
                <w:szCs w:val="20"/>
              </w:rPr>
            </w:pPr>
            <w:r w:rsidRPr="00627DA0">
              <w:rPr>
                <w:rFonts w:cs="Calibri Light"/>
                <w:sz w:val="20"/>
                <w:szCs w:val="20"/>
              </w:rPr>
              <w:t>Pulp</w:t>
            </w:r>
          </w:p>
        </w:tc>
        <w:tc>
          <w:tcPr>
            <w:tcW w:w="3117" w:type="dxa"/>
            <w:tcBorders>
              <w:top w:val="single" w:sz="4" w:space="0" w:color="auto"/>
              <w:bottom w:val="single" w:sz="4" w:space="0" w:color="auto"/>
            </w:tcBorders>
            <w:shd w:val="clear" w:color="auto" w:fill="F2F2F2" w:themeFill="background1" w:themeFillShade="F2"/>
          </w:tcPr>
          <w:p w14:paraId="7BD126A0"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70BED293" w14:textId="77777777" w:rsidTr="00460075">
        <w:tc>
          <w:tcPr>
            <w:tcW w:w="2335" w:type="dxa"/>
            <w:tcBorders>
              <w:top w:val="single" w:sz="4" w:space="0" w:color="auto"/>
              <w:bottom w:val="single" w:sz="4" w:space="0" w:color="auto"/>
            </w:tcBorders>
          </w:tcPr>
          <w:p w14:paraId="6EDAB0FB" w14:textId="77777777" w:rsidR="00627B24" w:rsidRPr="00627DA0" w:rsidRDefault="00627B24" w:rsidP="00460075">
            <w:pPr>
              <w:rPr>
                <w:rFonts w:cs="Calibri Light"/>
                <w:sz w:val="20"/>
                <w:szCs w:val="20"/>
              </w:rPr>
            </w:pPr>
            <w:r w:rsidRPr="00627DA0">
              <w:rPr>
                <w:rFonts w:cs="Calibri Light"/>
                <w:sz w:val="20"/>
                <w:szCs w:val="20"/>
              </w:rPr>
              <w:t>Other Motors</w:t>
            </w:r>
          </w:p>
        </w:tc>
        <w:tc>
          <w:tcPr>
            <w:tcW w:w="3898" w:type="dxa"/>
            <w:tcBorders>
              <w:top w:val="single" w:sz="4" w:space="0" w:color="auto"/>
              <w:bottom w:val="single" w:sz="4" w:space="0" w:color="auto"/>
            </w:tcBorders>
          </w:tcPr>
          <w:p w14:paraId="56C4891D"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tcBorders>
              <w:top w:val="single" w:sz="4" w:space="0" w:color="auto"/>
              <w:bottom w:val="single" w:sz="4" w:space="0" w:color="auto"/>
            </w:tcBorders>
          </w:tcPr>
          <w:p w14:paraId="4CCD0828"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47C86DD0" w14:textId="77777777" w:rsidTr="00460075">
        <w:tc>
          <w:tcPr>
            <w:tcW w:w="2335" w:type="dxa"/>
            <w:tcBorders>
              <w:top w:val="single" w:sz="4" w:space="0" w:color="auto"/>
              <w:bottom w:val="single" w:sz="4" w:space="0" w:color="auto"/>
            </w:tcBorders>
          </w:tcPr>
          <w:p w14:paraId="63A14EC1" w14:textId="77777777" w:rsidR="00627B24" w:rsidRPr="00627DA0" w:rsidRDefault="00627B24" w:rsidP="00460075">
            <w:pPr>
              <w:rPr>
                <w:rFonts w:cs="Calibri Light"/>
                <w:sz w:val="20"/>
                <w:szCs w:val="20"/>
              </w:rPr>
            </w:pPr>
            <w:r w:rsidRPr="00627DA0">
              <w:rPr>
                <w:rFonts w:cs="Calibri Light"/>
                <w:sz w:val="20"/>
                <w:szCs w:val="20"/>
              </w:rPr>
              <w:t>Pollution Control</w:t>
            </w:r>
          </w:p>
        </w:tc>
        <w:tc>
          <w:tcPr>
            <w:tcW w:w="3898" w:type="dxa"/>
            <w:tcBorders>
              <w:top w:val="single" w:sz="4" w:space="0" w:color="auto"/>
              <w:bottom w:val="single" w:sz="4" w:space="0" w:color="auto"/>
            </w:tcBorders>
            <w:shd w:val="clear" w:color="auto" w:fill="F2F2F2" w:themeFill="background1" w:themeFillShade="F2"/>
          </w:tcPr>
          <w:p w14:paraId="3E573DF8" w14:textId="77777777" w:rsidR="00627B24" w:rsidRPr="00627DA0" w:rsidRDefault="00627B24" w:rsidP="00460075">
            <w:pPr>
              <w:rPr>
                <w:rFonts w:cs="Calibri Light"/>
                <w:sz w:val="20"/>
                <w:szCs w:val="20"/>
              </w:rPr>
            </w:pPr>
            <w:r w:rsidRPr="00627DA0">
              <w:rPr>
                <w:rFonts w:cs="Calibri Light"/>
                <w:sz w:val="20"/>
                <w:szCs w:val="20"/>
              </w:rPr>
              <w:t>Motors</w:t>
            </w:r>
          </w:p>
        </w:tc>
        <w:tc>
          <w:tcPr>
            <w:tcW w:w="3117" w:type="dxa"/>
            <w:tcBorders>
              <w:top w:val="single" w:sz="4" w:space="0" w:color="auto"/>
              <w:bottom w:val="single" w:sz="4" w:space="0" w:color="auto"/>
            </w:tcBorders>
            <w:shd w:val="clear" w:color="auto" w:fill="F2F2F2" w:themeFill="background1" w:themeFillShade="F2"/>
          </w:tcPr>
          <w:p w14:paraId="33F13699"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459EA911" w14:textId="77777777" w:rsidTr="00460075">
        <w:tc>
          <w:tcPr>
            <w:tcW w:w="2335" w:type="dxa"/>
            <w:tcBorders>
              <w:top w:val="single" w:sz="4" w:space="0" w:color="auto"/>
            </w:tcBorders>
          </w:tcPr>
          <w:p w14:paraId="6F29A36B" w14:textId="77777777" w:rsidR="00627B24" w:rsidRPr="00627DA0" w:rsidRDefault="00627B24" w:rsidP="00460075">
            <w:pPr>
              <w:rPr>
                <w:rFonts w:cs="Calibri Light"/>
                <w:sz w:val="20"/>
                <w:szCs w:val="20"/>
              </w:rPr>
            </w:pPr>
            <w:r w:rsidRPr="00627DA0">
              <w:rPr>
                <w:rFonts w:cs="Calibri Light"/>
                <w:sz w:val="20"/>
                <w:szCs w:val="20"/>
              </w:rPr>
              <w:t>Pumps</w:t>
            </w:r>
          </w:p>
        </w:tc>
        <w:tc>
          <w:tcPr>
            <w:tcW w:w="3898" w:type="dxa"/>
            <w:tcBorders>
              <w:top w:val="single" w:sz="4" w:space="0" w:color="auto"/>
            </w:tcBorders>
          </w:tcPr>
          <w:p w14:paraId="2B6F3E6D" w14:textId="77777777" w:rsidR="00627B24" w:rsidRPr="00627DA0" w:rsidRDefault="00627B24" w:rsidP="00460075">
            <w:pPr>
              <w:rPr>
                <w:rFonts w:cs="Calibri Light"/>
                <w:sz w:val="20"/>
                <w:szCs w:val="20"/>
              </w:rPr>
            </w:pPr>
            <w:r w:rsidRPr="00627DA0">
              <w:rPr>
                <w:rFonts w:cs="Calibri Light"/>
                <w:sz w:val="20"/>
                <w:szCs w:val="20"/>
              </w:rPr>
              <w:t>Pulp</w:t>
            </w:r>
          </w:p>
        </w:tc>
        <w:tc>
          <w:tcPr>
            <w:tcW w:w="3117" w:type="dxa"/>
            <w:tcBorders>
              <w:top w:val="single" w:sz="4" w:space="0" w:color="auto"/>
            </w:tcBorders>
          </w:tcPr>
          <w:p w14:paraId="65BAAD7E"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70423959" w14:textId="77777777" w:rsidTr="00460075">
        <w:tc>
          <w:tcPr>
            <w:tcW w:w="2335" w:type="dxa"/>
          </w:tcPr>
          <w:p w14:paraId="72C8D966" w14:textId="77777777" w:rsidR="00627B24" w:rsidRPr="00627DA0" w:rsidRDefault="00627B24" w:rsidP="00460075">
            <w:pPr>
              <w:rPr>
                <w:rFonts w:cs="Calibri Light"/>
                <w:sz w:val="20"/>
                <w:szCs w:val="20"/>
              </w:rPr>
            </w:pPr>
          </w:p>
        </w:tc>
        <w:tc>
          <w:tcPr>
            <w:tcW w:w="3898" w:type="dxa"/>
            <w:shd w:val="clear" w:color="auto" w:fill="F2F2F2" w:themeFill="background1" w:themeFillShade="F2"/>
          </w:tcPr>
          <w:p w14:paraId="1E49114C" w14:textId="77777777" w:rsidR="00627B24" w:rsidRPr="00627DA0" w:rsidRDefault="00627B24" w:rsidP="00460075">
            <w:pPr>
              <w:rPr>
                <w:rFonts w:cs="Calibri Light"/>
                <w:sz w:val="20"/>
                <w:szCs w:val="20"/>
              </w:rPr>
            </w:pPr>
            <w:r w:rsidRPr="00627DA0">
              <w:rPr>
                <w:rFonts w:cs="Calibri Light"/>
                <w:sz w:val="20"/>
                <w:szCs w:val="20"/>
              </w:rPr>
              <w:t>Pump Optimization</w:t>
            </w:r>
          </w:p>
        </w:tc>
        <w:tc>
          <w:tcPr>
            <w:tcW w:w="3117" w:type="dxa"/>
            <w:shd w:val="clear" w:color="auto" w:fill="F2F2F2" w:themeFill="background1" w:themeFillShade="F2"/>
          </w:tcPr>
          <w:p w14:paraId="7429522B" w14:textId="77777777" w:rsidR="00627B24" w:rsidRPr="00627DA0" w:rsidRDefault="00627B24" w:rsidP="00460075">
            <w:pPr>
              <w:rPr>
                <w:rFonts w:cs="Calibri Light"/>
                <w:sz w:val="20"/>
                <w:szCs w:val="20"/>
              </w:rPr>
            </w:pPr>
            <w:r w:rsidRPr="00627DA0">
              <w:rPr>
                <w:sz w:val="20"/>
                <w:szCs w:val="20"/>
              </w:rPr>
              <w:t xml:space="preserve">2021 Power Plan </w:t>
            </w:r>
          </w:p>
        </w:tc>
      </w:tr>
      <w:tr w:rsidR="00627B24" w:rsidRPr="00627DA0" w14:paraId="327C5214" w14:textId="77777777" w:rsidTr="00460075">
        <w:tc>
          <w:tcPr>
            <w:tcW w:w="2335" w:type="dxa"/>
            <w:tcBorders>
              <w:bottom w:val="single" w:sz="4" w:space="0" w:color="auto"/>
            </w:tcBorders>
          </w:tcPr>
          <w:p w14:paraId="379F03BE" w14:textId="77777777" w:rsidR="00627B24" w:rsidRPr="00627DA0" w:rsidRDefault="00627B24" w:rsidP="00460075">
            <w:pPr>
              <w:rPr>
                <w:rFonts w:cs="Calibri Light"/>
                <w:sz w:val="20"/>
                <w:szCs w:val="20"/>
              </w:rPr>
            </w:pPr>
          </w:p>
        </w:tc>
        <w:tc>
          <w:tcPr>
            <w:tcW w:w="3898" w:type="dxa"/>
            <w:tcBorders>
              <w:bottom w:val="single" w:sz="4" w:space="0" w:color="auto"/>
            </w:tcBorders>
          </w:tcPr>
          <w:p w14:paraId="6A5F65F7" w14:textId="77777777" w:rsidR="00627B24" w:rsidRPr="00627DA0" w:rsidRDefault="00627B24" w:rsidP="00460075">
            <w:pPr>
              <w:rPr>
                <w:rFonts w:cs="Calibri Light"/>
                <w:sz w:val="20"/>
                <w:szCs w:val="20"/>
              </w:rPr>
            </w:pPr>
            <w:r w:rsidRPr="00627DA0">
              <w:rPr>
                <w:rFonts w:cs="Calibri Light"/>
                <w:sz w:val="20"/>
                <w:szCs w:val="20"/>
              </w:rPr>
              <w:t>Pumps</w:t>
            </w:r>
          </w:p>
        </w:tc>
        <w:tc>
          <w:tcPr>
            <w:tcW w:w="3117" w:type="dxa"/>
            <w:tcBorders>
              <w:bottom w:val="single" w:sz="4" w:space="0" w:color="auto"/>
            </w:tcBorders>
          </w:tcPr>
          <w:p w14:paraId="68D79BAE" w14:textId="77777777" w:rsidR="00627B24" w:rsidRPr="00627DA0" w:rsidRDefault="00627B24" w:rsidP="00460075">
            <w:pPr>
              <w:rPr>
                <w:rFonts w:cs="Calibri Light"/>
                <w:sz w:val="20"/>
                <w:szCs w:val="20"/>
              </w:rPr>
            </w:pPr>
            <w:r w:rsidRPr="00627DA0">
              <w:rPr>
                <w:sz w:val="20"/>
                <w:szCs w:val="20"/>
              </w:rPr>
              <w:t>2021 Power Plan, RTF</w:t>
            </w:r>
          </w:p>
        </w:tc>
      </w:tr>
    </w:tbl>
    <w:p w14:paraId="38A4D696" w14:textId="4A54E1E6" w:rsidR="00556759" w:rsidRPr="00627DA0" w:rsidRDefault="00556759">
      <w:pPr>
        <w:rPr>
          <w:b/>
          <w:iCs/>
          <w:color w:val="000000" w:themeColor="text1"/>
          <w:sz w:val="20"/>
          <w:szCs w:val="18"/>
        </w:rPr>
      </w:pPr>
    </w:p>
    <w:p w14:paraId="1C70DA8A" w14:textId="1D9B9A8C" w:rsidR="00556759" w:rsidRPr="00627DA0" w:rsidRDefault="00556759" w:rsidP="00556759">
      <w:pPr>
        <w:pStyle w:val="Caption"/>
      </w:pPr>
      <w:bookmarkStart w:id="170" w:name="_Toc207870746"/>
      <w:r w:rsidRPr="00627DA0">
        <w:t xml:space="preserve">Table </w:t>
      </w:r>
      <w:fldSimple w:instr=" SEQ Table \* ARABIC ">
        <w:r w:rsidR="00431297" w:rsidRPr="00627DA0">
          <w:t>17</w:t>
        </w:r>
      </w:fldSimple>
      <w:r w:rsidRPr="00627DA0">
        <w:t xml:space="preserve">: </w:t>
      </w:r>
      <w:r w:rsidR="007947E3" w:rsidRPr="00627DA0">
        <w:t xml:space="preserve">Utility </w:t>
      </w:r>
      <w:r w:rsidRPr="00627DA0">
        <w:t>Distribution End Uses and Measures</w:t>
      </w:r>
      <w:bookmarkEnd w:id="1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4433"/>
        <w:gridCol w:w="3117"/>
      </w:tblGrid>
      <w:tr w:rsidR="00556759" w:rsidRPr="00627DA0" w14:paraId="1AA4F307" w14:textId="77777777" w:rsidTr="00274051">
        <w:tc>
          <w:tcPr>
            <w:tcW w:w="1800" w:type="dxa"/>
            <w:tcBorders>
              <w:top w:val="single" w:sz="12" w:space="0" w:color="auto"/>
              <w:bottom w:val="single" w:sz="12" w:space="0" w:color="auto"/>
            </w:tcBorders>
            <w:shd w:val="clear" w:color="auto" w:fill="00205C" w:themeFill="accent1" w:themeFillShade="BF"/>
          </w:tcPr>
          <w:p w14:paraId="0987CC94" w14:textId="7C336381" w:rsidR="00556759" w:rsidRPr="00627DA0" w:rsidRDefault="00556759" w:rsidP="00556759">
            <w:pPr>
              <w:rPr>
                <w:sz w:val="20"/>
                <w:szCs w:val="20"/>
              </w:rPr>
            </w:pPr>
            <w:r w:rsidRPr="00627DA0">
              <w:rPr>
                <w:rFonts w:cs="Calibri Light"/>
                <w:b/>
                <w:bCs/>
                <w:sz w:val="20"/>
                <w:szCs w:val="20"/>
              </w:rPr>
              <w:t>End Use</w:t>
            </w:r>
          </w:p>
        </w:tc>
        <w:tc>
          <w:tcPr>
            <w:tcW w:w="4433" w:type="dxa"/>
            <w:tcBorders>
              <w:top w:val="single" w:sz="12" w:space="0" w:color="auto"/>
              <w:bottom w:val="single" w:sz="12" w:space="0" w:color="auto"/>
            </w:tcBorders>
            <w:shd w:val="clear" w:color="auto" w:fill="00205C" w:themeFill="accent1" w:themeFillShade="BF"/>
          </w:tcPr>
          <w:p w14:paraId="39BFFE4B" w14:textId="5A7D3E94" w:rsidR="00556759" w:rsidRPr="00627DA0" w:rsidRDefault="00556759" w:rsidP="00556759">
            <w:pPr>
              <w:rPr>
                <w:sz w:val="20"/>
                <w:szCs w:val="20"/>
              </w:rPr>
            </w:pPr>
            <w:r w:rsidRPr="00627DA0">
              <w:rPr>
                <w:rFonts w:cs="Calibri Light"/>
                <w:b/>
                <w:bCs/>
                <w:sz w:val="20"/>
                <w:szCs w:val="20"/>
              </w:rPr>
              <w:t>Measure Category</w:t>
            </w:r>
          </w:p>
        </w:tc>
        <w:tc>
          <w:tcPr>
            <w:tcW w:w="3117" w:type="dxa"/>
            <w:tcBorders>
              <w:top w:val="single" w:sz="12" w:space="0" w:color="auto"/>
              <w:bottom w:val="single" w:sz="12" w:space="0" w:color="auto"/>
            </w:tcBorders>
            <w:shd w:val="clear" w:color="auto" w:fill="00205C" w:themeFill="accent1" w:themeFillShade="BF"/>
          </w:tcPr>
          <w:p w14:paraId="158B4363" w14:textId="11D69134" w:rsidR="00556759" w:rsidRPr="00627DA0" w:rsidRDefault="00556759" w:rsidP="00556759">
            <w:pPr>
              <w:rPr>
                <w:sz w:val="20"/>
                <w:szCs w:val="20"/>
              </w:rPr>
            </w:pPr>
            <w:r w:rsidRPr="00627DA0">
              <w:rPr>
                <w:rFonts w:cs="Calibri Light"/>
                <w:b/>
                <w:bCs/>
                <w:sz w:val="20"/>
                <w:szCs w:val="20"/>
              </w:rPr>
              <w:t>Data Source</w:t>
            </w:r>
          </w:p>
        </w:tc>
      </w:tr>
      <w:tr w:rsidR="006A33D1" w:rsidRPr="00627DA0" w14:paraId="01ADA577" w14:textId="77777777" w:rsidTr="006A33D1">
        <w:tc>
          <w:tcPr>
            <w:tcW w:w="1800" w:type="dxa"/>
            <w:vMerge w:val="restart"/>
            <w:tcBorders>
              <w:top w:val="single" w:sz="12" w:space="0" w:color="auto"/>
            </w:tcBorders>
          </w:tcPr>
          <w:p w14:paraId="450C00A6" w14:textId="6910CFEF" w:rsidR="006A33D1" w:rsidRPr="00627DA0" w:rsidRDefault="006A33D1" w:rsidP="006A33D1">
            <w:pPr>
              <w:rPr>
                <w:sz w:val="20"/>
                <w:szCs w:val="20"/>
              </w:rPr>
            </w:pPr>
            <w:r w:rsidRPr="00627DA0">
              <w:rPr>
                <w:sz w:val="20"/>
                <w:szCs w:val="20"/>
              </w:rPr>
              <w:t>Distribution</w:t>
            </w:r>
          </w:p>
        </w:tc>
        <w:tc>
          <w:tcPr>
            <w:tcW w:w="4433" w:type="dxa"/>
            <w:tcBorders>
              <w:top w:val="single" w:sz="12" w:space="0" w:color="auto"/>
            </w:tcBorders>
            <w:shd w:val="clear" w:color="auto" w:fill="F2F2F2" w:themeFill="background1" w:themeFillShade="F2"/>
          </w:tcPr>
          <w:p w14:paraId="7881C77A" w14:textId="5EAAFDA0" w:rsidR="006A33D1" w:rsidRPr="00627DA0" w:rsidRDefault="006A33D1" w:rsidP="006A33D1">
            <w:pPr>
              <w:jc w:val="left"/>
              <w:rPr>
                <w:sz w:val="20"/>
                <w:szCs w:val="20"/>
              </w:rPr>
            </w:pPr>
            <w:r w:rsidRPr="00627DA0">
              <w:rPr>
                <w:sz w:val="20"/>
                <w:szCs w:val="20"/>
              </w:rPr>
              <w:t>Line Drop Control with no Voltage/VAR Optimization</w:t>
            </w:r>
          </w:p>
        </w:tc>
        <w:tc>
          <w:tcPr>
            <w:tcW w:w="3117" w:type="dxa"/>
            <w:tcBorders>
              <w:top w:val="single" w:sz="12" w:space="0" w:color="auto"/>
            </w:tcBorders>
            <w:shd w:val="clear" w:color="auto" w:fill="F2F2F2" w:themeFill="background1" w:themeFillShade="F2"/>
          </w:tcPr>
          <w:p w14:paraId="25CE9818" w14:textId="42B9A5AE" w:rsidR="006A33D1" w:rsidRPr="00627DA0" w:rsidRDefault="006A33D1" w:rsidP="006A33D1">
            <w:pPr>
              <w:rPr>
                <w:sz w:val="20"/>
                <w:szCs w:val="20"/>
              </w:rPr>
            </w:pPr>
            <w:r w:rsidRPr="00627DA0">
              <w:rPr>
                <w:sz w:val="20"/>
                <w:szCs w:val="20"/>
              </w:rPr>
              <w:t xml:space="preserve">2021 </w:t>
            </w:r>
            <w:r w:rsidR="00627B24" w:rsidRPr="00627DA0">
              <w:rPr>
                <w:sz w:val="20"/>
                <w:szCs w:val="20"/>
              </w:rPr>
              <w:t xml:space="preserve">Power </w:t>
            </w:r>
            <w:r w:rsidRPr="00627DA0">
              <w:rPr>
                <w:sz w:val="20"/>
                <w:szCs w:val="20"/>
              </w:rPr>
              <w:t xml:space="preserve">Plan </w:t>
            </w:r>
          </w:p>
        </w:tc>
      </w:tr>
      <w:tr w:rsidR="006A33D1" w:rsidRPr="00627DA0" w14:paraId="20D559A7" w14:textId="77777777" w:rsidTr="00274051">
        <w:tc>
          <w:tcPr>
            <w:tcW w:w="1800" w:type="dxa"/>
            <w:vMerge/>
            <w:tcBorders>
              <w:bottom w:val="single" w:sz="4" w:space="0" w:color="auto"/>
            </w:tcBorders>
          </w:tcPr>
          <w:p w14:paraId="7DB18A69" w14:textId="77777777" w:rsidR="006A33D1" w:rsidRPr="00627DA0" w:rsidRDefault="006A33D1" w:rsidP="006A33D1">
            <w:pPr>
              <w:rPr>
                <w:sz w:val="20"/>
                <w:szCs w:val="20"/>
              </w:rPr>
            </w:pPr>
          </w:p>
        </w:tc>
        <w:tc>
          <w:tcPr>
            <w:tcW w:w="4433" w:type="dxa"/>
            <w:tcBorders>
              <w:bottom w:val="single" w:sz="4" w:space="0" w:color="auto"/>
            </w:tcBorders>
          </w:tcPr>
          <w:p w14:paraId="1F17E997" w14:textId="1FA9B4D6" w:rsidR="006A33D1" w:rsidRPr="00627DA0" w:rsidRDefault="006A33D1" w:rsidP="006A33D1">
            <w:pPr>
              <w:jc w:val="left"/>
              <w:rPr>
                <w:sz w:val="20"/>
                <w:szCs w:val="20"/>
              </w:rPr>
            </w:pPr>
            <w:r w:rsidRPr="00627DA0">
              <w:rPr>
                <w:sz w:val="20"/>
                <w:szCs w:val="20"/>
              </w:rPr>
              <w:t>Line Drop Control with Voltage Optimization &amp; AMI</w:t>
            </w:r>
          </w:p>
        </w:tc>
        <w:tc>
          <w:tcPr>
            <w:tcW w:w="3117" w:type="dxa"/>
            <w:tcBorders>
              <w:bottom w:val="single" w:sz="4" w:space="0" w:color="auto"/>
            </w:tcBorders>
          </w:tcPr>
          <w:p w14:paraId="7369119B" w14:textId="79AE3F82" w:rsidR="006A33D1" w:rsidRPr="00627DA0" w:rsidRDefault="006A33D1" w:rsidP="006A33D1">
            <w:pPr>
              <w:rPr>
                <w:sz w:val="20"/>
                <w:szCs w:val="20"/>
              </w:rPr>
            </w:pPr>
            <w:r w:rsidRPr="00627DA0">
              <w:rPr>
                <w:sz w:val="20"/>
                <w:szCs w:val="20"/>
              </w:rPr>
              <w:t xml:space="preserve">2021 </w:t>
            </w:r>
            <w:r w:rsidR="00627B24" w:rsidRPr="00627DA0">
              <w:rPr>
                <w:sz w:val="20"/>
                <w:szCs w:val="20"/>
              </w:rPr>
              <w:t xml:space="preserve">Power </w:t>
            </w:r>
            <w:r w:rsidRPr="00627DA0">
              <w:rPr>
                <w:sz w:val="20"/>
                <w:szCs w:val="20"/>
              </w:rPr>
              <w:t xml:space="preserve">Plan </w:t>
            </w:r>
          </w:p>
        </w:tc>
      </w:tr>
    </w:tbl>
    <w:p w14:paraId="5819C288" w14:textId="5C600A65" w:rsidR="00405608" w:rsidRPr="00627DA0" w:rsidRDefault="00405608" w:rsidP="00556759"/>
    <w:p w14:paraId="7E6D3221" w14:textId="4A2EDAB3" w:rsidR="00F30E20" w:rsidRPr="00627DA0" w:rsidRDefault="00F30E20">
      <w:r w:rsidRPr="00627DA0">
        <w:br w:type="page"/>
      </w:r>
    </w:p>
    <w:p w14:paraId="3E290ABC" w14:textId="3830C0BF" w:rsidR="00F30E20" w:rsidRPr="00627DA0" w:rsidRDefault="00F30E20" w:rsidP="00F30E20">
      <w:pPr>
        <w:pStyle w:val="Caption"/>
      </w:pPr>
      <w:bookmarkStart w:id="171" w:name="_Toc198559192"/>
      <w:bookmarkStart w:id="172" w:name="_Toc207870747"/>
      <w:r w:rsidRPr="00627DA0">
        <w:lastRenderedPageBreak/>
        <w:t xml:space="preserve">Table </w:t>
      </w:r>
      <w:fldSimple w:instr=" SEQ Table \* ARABIC ">
        <w:r w:rsidR="00431297" w:rsidRPr="00627DA0">
          <w:t>18</w:t>
        </w:r>
      </w:fldSimple>
      <w:r w:rsidRPr="00627DA0">
        <w:t>: Agricultural End Uses and Measures</w:t>
      </w:r>
      <w:bookmarkEnd w:id="171"/>
      <w:bookmarkEnd w:id="172"/>
    </w:p>
    <w:tbl>
      <w:tblPr>
        <w:tblStyle w:val="TableGrid"/>
        <w:tblW w:w="0" w:type="auto"/>
        <w:tblBorders>
          <w:top w:val="single" w:sz="12" w:space="0" w:color="002C7C" w:themeColor="accent1"/>
          <w:left w:val="none" w:sz="0" w:space="0" w:color="auto"/>
          <w:bottom w:val="single" w:sz="12" w:space="0" w:color="002C7C" w:themeColor="accent1"/>
          <w:right w:val="none" w:sz="0" w:space="0" w:color="auto"/>
          <w:insideH w:val="none" w:sz="0" w:space="0" w:color="auto"/>
          <w:insideV w:val="none" w:sz="0" w:space="0" w:color="auto"/>
        </w:tblBorders>
        <w:tblLook w:val="04A0" w:firstRow="1" w:lastRow="0" w:firstColumn="1" w:lastColumn="0" w:noHBand="0" w:noVBand="1"/>
      </w:tblPr>
      <w:tblGrid>
        <w:gridCol w:w="1800"/>
        <w:gridCol w:w="4433"/>
        <w:gridCol w:w="3117"/>
      </w:tblGrid>
      <w:tr w:rsidR="00F30E20" w:rsidRPr="00627DA0" w14:paraId="1F10A522" w14:textId="77777777" w:rsidTr="009F5517">
        <w:tc>
          <w:tcPr>
            <w:tcW w:w="1800" w:type="dxa"/>
            <w:tcBorders>
              <w:top w:val="single" w:sz="12" w:space="0" w:color="auto"/>
              <w:bottom w:val="nil"/>
            </w:tcBorders>
            <w:shd w:val="clear" w:color="auto" w:fill="00205C" w:themeFill="accent1" w:themeFillShade="BF"/>
          </w:tcPr>
          <w:p w14:paraId="478D93C1" w14:textId="77777777" w:rsidR="00F30E20" w:rsidRPr="00627DA0" w:rsidRDefault="00F30E20" w:rsidP="009F5517">
            <w:pPr>
              <w:rPr>
                <w:b/>
                <w:bCs/>
                <w:sz w:val="20"/>
                <w:szCs w:val="20"/>
              </w:rPr>
            </w:pPr>
            <w:r w:rsidRPr="00627DA0">
              <w:rPr>
                <w:rFonts w:cs="Calibri Light"/>
                <w:b/>
                <w:bCs/>
                <w:sz w:val="20"/>
                <w:szCs w:val="20"/>
              </w:rPr>
              <w:t>End Use</w:t>
            </w:r>
          </w:p>
        </w:tc>
        <w:tc>
          <w:tcPr>
            <w:tcW w:w="4433" w:type="dxa"/>
            <w:tcBorders>
              <w:top w:val="single" w:sz="12" w:space="0" w:color="auto"/>
              <w:bottom w:val="nil"/>
            </w:tcBorders>
            <w:shd w:val="clear" w:color="auto" w:fill="00205C" w:themeFill="accent1" w:themeFillShade="BF"/>
          </w:tcPr>
          <w:p w14:paraId="1D6A3B91" w14:textId="77777777" w:rsidR="00F30E20" w:rsidRPr="00627DA0" w:rsidRDefault="00F30E20" w:rsidP="009F5517">
            <w:pPr>
              <w:rPr>
                <w:b/>
                <w:bCs/>
                <w:sz w:val="20"/>
                <w:szCs w:val="20"/>
              </w:rPr>
            </w:pPr>
            <w:r w:rsidRPr="00627DA0">
              <w:rPr>
                <w:rFonts w:cs="Calibri Light"/>
                <w:b/>
                <w:bCs/>
                <w:sz w:val="20"/>
                <w:szCs w:val="20"/>
              </w:rPr>
              <w:t>Measure Category</w:t>
            </w:r>
          </w:p>
        </w:tc>
        <w:tc>
          <w:tcPr>
            <w:tcW w:w="3117" w:type="dxa"/>
            <w:tcBorders>
              <w:top w:val="single" w:sz="12" w:space="0" w:color="auto"/>
              <w:bottom w:val="nil"/>
            </w:tcBorders>
            <w:shd w:val="clear" w:color="auto" w:fill="00205C" w:themeFill="accent1" w:themeFillShade="BF"/>
          </w:tcPr>
          <w:p w14:paraId="0F7BE519" w14:textId="77777777" w:rsidR="00F30E20" w:rsidRPr="00627DA0" w:rsidRDefault="00F30E20" w:rsidP="009F5517">
            <w:pPr>
              <w:rPr>
                <w:b/>
                <w:bCs/>
                <w:sz w:val="20"/>
                <w:szCs w:val="20"/>
              </w:rPr>
            </w:pPr>
            <w:r w:rsidRPr="00627DA0">
              <w:rPr>
                <w:rFonts w:cs="Calibri Light"/>
                <w:b/>
                <w:bCs/>
                <w:sz w:val="20"/>
                <w:szCs w:val="20"/>
              </w:rPr>
              <w:t>Data Source</w:t>
            </w:r>
          </w:p>
        </w:tc>
      </w:tr>
      <w:tr w:rsidR="00F30E20" w:rsidRPr="00627DA0" w14:paraId="3F55F474" w14:textId="77777777" w:rsidTr="009F5517">
        <w:tc>
          <w:tcPr>
            <w:tcW w:w="1800" w:type="dxa"/>
            <w:vMerge w:val="restart"/>
            <w:tcBorders>
              <w:top w:val="nil"/>
              <w:bottom w:val="nil"/>
            </w:tcBorders>
          </w:tcPr>
          <w:p w14:paraId="5C9BD3E7" w14:textId="77777777" w:rsidR="00F30E20" w:rsidRPr="00627DA0" w:rsidRDefault="00F30E20" w:rsidP="009F5517">
            <w:pPr>
              <w:rPr>
                <w:rFonts w:cs="Calibri Light"/>
                <w:sz w:val="20"/>
                <w:szCs w:val="20"/>
              </w:rPr>
            </w:pPr>
            <w:r w:rsidRPr="00627DA0">
              <w:rPr>
                <w:sz w:val="20"/>
                <w:szCs w:val="20"/>
              </w:rPr>
              <w:t>Irrigation</w:t>
            </w:r>
          </w:p>
          <w:p w14:paraId="611D3ADA" w14:textId="77777777" w:rsidR="00F30E20" w:rsidRPr="00627DA0" w:rsidRDefault="00F30E20" w:rsidP="009F5517">
            <w:pPr>
              <w:rPr>
                <w:rFonts w:cs="Calibri Light"/>
                <w:sz w:val="20"/>
                <w:szCs w:val="20"/>
              </w:rPr>
            </w:pPr>
          </w:p>
          <w:p w14:paraId="3967B9A7" w14:textId="77777777" w:rsidR="00F30E20" w:rsidRPr="00627DA0" w:rsidRDefault="00F30E20" w:rsidP="009F5517">
            <w:pPr>
              <w:rPr>
                <w:rFonts w:cs="Calibri Light"/>
                <w:sz w:val="20"/>
                <w:szCs w:val="20"/>
              </w:rPr>
            </w:pPr>
          </w:p>
        </w:tc>
        <w:tc>
          <w:tcPr>
            <w:tcW w:w="4433" w:type="dxa"/>
            <w:tcBorders>
              <w:top w:val="nil"/>
              <w:bottom w:val="nil"/>
            </w:tcBorders>
            <w:shd w:val="clear" w:color="auto" w:fill="F2F2F2" w:themeFill="background1" w:themeFillShade="F2"/>
          </w:tcPr>
          <w:p w14:paraId="5B4A0A31" w14:textId="77777777" w:rsidR="00F30E20" w:rsidRPr="00627DA0" w:rsidRDefault="00F30E20" w:rsidP="009F5517">
            <w:pPr>
              <w:rPr>
                <w:rFonts w:cs="Calibri Light"/>
                <w:sz w:val="20"/>
                <w:szCs w:val="20"/>
              </w:rPr>
            </w:pPr>
            <w:r w:rsidRPr="00627DA0">
              <w:rPr>
                <w:sz w:val="20"/>
                <w:szCs w:val="20"/>
              </w:rPr>
              <w:t>Irrigation Hardware</w:t>
            </w:r>
          </w:p>
        </w:tc>
        <w:tc>
          <w:tcPr>
            <w:tcW w:w="3117" w:type="dxa"/>
            <w:tcBorders>
              <w:top w:val="nil"/>
              <w:bottom w:val="nil"/>
            </w:tcBorders>
            <w:shd w:val="clear" w:color="auto" w:fill="F2F2F2" w:themeFill="background1" w:themeFillShade="F2"/>
          </w:tcPr>
          <w:p w14:paraId="4275E16D" w14:textId="77777777" w:rsidR="00F30E20" w:rsidRPr="00627DA0" w:rsidRDefault="00F30E20" w:rsidP="009F5517">
            <w:pPr>
              <w:rPr>
                <w:rFonts w:cs="Calibri Light"/>
                <w:sz w:val="20"/>
                <w:szCs w:val="20"/>
              </w:rPr>
            </w:pPr>
            <w:r w:rsidRPr="00627DA0">
              <w:rPr>
                <w:sz w:val="20"/>
                <w:szCs w:val="20"/>
              </w:rPr>
              <w:t xml:space="preserve">2021 Power Plan, RTF </w:t>
            </w:r>
          </w:p>
        </w:tc>
      </w:tr>
      <w:tr w:rsidR="00F30E20" w:rsidRPr="00627DA0" w14:paraId="72D56A9D" w14:textId="77777777" w:rsidTr="009F5517">
        <w:tc>
          <w:tcPr>
            <w:tcW w:w="1800" w:type="dxa"/>
            <w:vMerge/>
            <w:tcBorders>
              <w:top w:val="nil"/>
              <w:bottom w:val="nil"/>
            </w:tcBorders>
          </w:tcPr>
          <w:p w14:paraId="5F8FE885" w14:textId="77777777" w:rsidR="00F30E20" w:rsidRPr="00627DA0" w:rsidRDefault="00F30E20" w:rsidP="009F5517">
            <w:pPr>
              <w:rPr>
                <w:rFonts w:cs="Calibri Light"/>
                <w:sz w:val="20"/>
                <w:szCs w:val="20"/>
              </w:rPr>
            </w:pPr>
          </w:p>
        </w:tc>
        <w:tc>
          <w:tcPr>
            <w:tcW w:w="4433" w:type="dxa"/>
            <w:tcBorders>
              <w:top w:val="nil"/>
              <w:bottom w:val="nil"/>
            </w:tcBorders>
          </w:tcPr>
          <w:p w14:paraId="2ED8231D" w14:textId="77777777" w:rsidR="00F30E20" w:rsidRPr="00627DA0" w:rsidRDefault="00F30E20" w:rsidP="009F5517">
            <w:pPr>
              <w:rPr>
                <w:rFonts w:cs="Calibri Light"/>
                <w:sz w:val="20"/>
                <w:szCs w:val="20"/>
              </w:rPr>
            </w:pPr>
            <w:r w:rsidRPr="00627DA0">
              <w:rPr>
                <w:sz w:val="20"/>
                <w:szCs w:val="20"/>
              </w:rPr>
              <w:t>Motor Rewind</w:t>
            </w:r>
          </w:p>
        </w:tc>
        <w:tc>
          <w:tcPr>
            <w:tcW w:w="3117" w:type="dxa"/>
            <w:tcBorders>
              <w:top w:val="nil"/>
              <w:bottom w:val="nil"/>
            </w:tcBorders>
          </w:tcPr>
          <w:p w14:paraId="34C7DF7C" w14:textId="77777777" w:rsidR="00F30E20" w:rsidRPr="00627DA0" w:rsidRDefault="00F30E20" w:rsidP="009F5517">
            <w:pPr>
              <w:rPr>
                <w:rFonts w:cs="Calibri Light"/>
                <w:sz w:val="20"/>
                <w:szCs w:val="20"/>
              </w:rPr>
            </w:pPr>
            <w:r w:rsidRPr="00627DA0">
              <w:rPr>
                <w:sz w:val="20"/>
                <w:szCs w:val="20"/>
              </w:rPr>
              <w:t>2021 Power Plan, RTF</w:t>
            </w:r>
          </w:p>
        </w:tc>
      </w:tr>
      <w:tr w:rsidR="00F30E20" w:rsidRPr="00627DA0" w14:paraId="229D7B82" w14:textId="77777777" w:rsidTr="009F5517">
        <w:tc>
          <w:tcPr>
            <w:tcW w:w="1800" w:type="dxa"/>
            <w:vMerge/>
            <w:tcBorders>
              <w:top w:val="nil"/>
              <w:bottom w:val="nil"/>
            </w:tcBorders>
          </w:tcPr>
          <w:p w14:paraId="00680FAF" w14:textId="77777777" w:rsidR="00F30E20" w:rsidRPr="00627DA0" w:rsidRDefault="00F30E20" w:rsidP="009F5517">
            <w:pPr>
              <w:rPr>
                <w:rFonts w:cs="Calibri Light"/>
                <w:sz w:val="20"/>
                <w:szCs w:val="20"/>
              </w:rPr>
            </w:pPr>
          </w:p>
        </w:tc>
        <w:tc>
          <w:tcPr>
            <w:tcW w:w="4433" w:type="dxa"/>
            <w:tcBorders>
              <w:top w:val="nil"/>
              <w:bottom w:val="nil"/>
            </w:tcBorders>
            <w:shd w:val="clear" w:color="auto" w:fill="F2F2F2" w:themeFill="background1" w:themeFillShade="F2"/>
          </w:tcPr>
          <w:p w14:paraId="332E6FC9" w14:textId="77777777" w:rsidR="00F30E20" w:rsidRPr="00627DA0" w:rsidRDefault="00F30E20" w:rsidP="009F5517">
            <w:pPr>
              <w:rPr>
                <w:rFonts w:cs="Calibri Light"/>
                <w:sz w:val="20"/>
                <w:szCs w:val="20"/>
              </w:rPr>
            </w:pPr>
            <w:r w:rsidRPr="00627DA0">
              <w:rPr>
                <w:sz w:val="20"/>
                <w:szCs w:val="20"/>
              </w:rPr>
              <w:t>Pumps</w:t>
            </w:r>
          </w:p>
        </w:tc>
        <w:tc>
          <w:tcPr>
            <w:tcW w:w="3117" w:type="dxa"/>
            <w:tcBorders>
              <w:top w:val="nil"/>
              <w:bottom w:val="nil"/>
            </w:tcBorders>
            <w:shd w:val="clear" w:color="auto" w:fill="F2F2F2" w:themeFill="background1" w:themeFillShade="F2"/>
          </w:tcPr>
          <w:p w14:paraId="1783493E" w14:textId="77777777" w:rsidR="00F30E20" w:rsidRPr="00627DA0" w:rsidRDefault="00F30E20" w:rsidP="009F5517">
            <w:pPr>
              <w:rPr>
                <w:rFonts w:cs="Calibri Light"/>
                <w:sz w:val="20"/>
                <w:szCs w:val="20"/>
              </w:rPr>
            </w:pPr>
            <w:r w:rsidRPr="00627DA0">
              <w:rPr>
                <w:sz w:val="20"/>
                <w:szCs w:val="20"/>
              </w:rPr>
              <w:t xml:space="preserve">2021 Power Plan, RTF </w:t>
            </w:r>
          </w:p>
        </w:tc>
      </w:tr>
      <w:tr w:rsidR="00F30E20" w:rsidRPr="00627DA0" w14:paraId="0BCD20CD" w14:textId="77777777" w:rsidTr="009F5517">
        <w:tc>
          <w:tcPr>
            <w:tcW w:w="1800" w:type="dxa"/>
            <w:vMerge/>
            <w:tcBorders>
              <w:top w:val="nil"/>
              <w:bottom w:val="single" w:sz="4" w:space="0" w:color="auto"/>
            </w:tcBorders>
          </w:tcPr>
          <w:p w14:paraId="0E97F59C" w14:textId="77777777" w:rsidR="00F30E20" w:rsidRPr="00627DA0" w:rsidRDefault="00F30E20" w:rsidP="009F5517">
            <w:pPr>
              <w:rPr>
                <w:rFonts w:cs="Calibri Light"/>
                <w:sz w:val="20"/>
                <w:szCs w:val="20"/>
              </w:rPr>
            </w:pPr>
          </w:p>
        </w:tc>
        <w:tc>
          <w:tcPr>
            <w:tcW w:w="4433" w:type="dxa"/>
            <w:tcBorders>
              <w:top w:val="nil"/>
              <w:bottom w:val="single" w:sz="4" w:space="0" w:color="auto"/>
            </w:tcBorders>
          </w:tcPr>
          <w:p w14:paraId="76B60ACE" w14:textId="77777777" w:rsidR="00F30E20" w:rsidRPr="00627DA0" w:rsidRDefault="00F30E20" w:rsidP="009F5517">
            <w:pPr>
              <w:rPr>
                <w:rFonts w:cs="Calibri Light"/>
                <w:sz w:val="20"/>
                <w:szCs w:val="20"/>
              </w:rPr>
            </w:pPr>
            <w:r w:rsidRPr="00627DA0">
              <w:rPr>
                <w:sz w:val="20"/>
                <w:szCs w:val="20"/>
              </w:rPr>
              <w:t>Variable Rate Irrigation</w:t>
            </w:r>
          </w:p>
        </w:tc>
        <w:tc>
          <w:tcPr>
            <w:tcW w:w="3117" w:type="dxa"/>
            <w:tcBorders>
              <w:top w:val="nil"/>
              <w:bottom w:val="single" w:sz="4" w:space="0" w:color="auto"/>
            </w:tcBorders>
          </w:tcPr>
          <w:p w14:paraId="40C97653" w14:textId="77777777" w:rsidR="00F30E20" w:rsidRPr="00627DA0" w:rsidRDefault="00F30E20" w:rsidP="009F5517">
            <w:pPr>
              <w:rPr>
                <w:rFonts w:cs="Calibri Light"/>
                <w:sz w:val="20"/>
                <w:szCs w:val="20"/>
              </w:rPr>
            </w:pPr>
            <w:r w:rsidRPr="00627DA0">
              <w:rPr>
                <w:sz w:val="20"/>
                <w:szCs w:val="20"/>
              </w:rPr>
              <w:t xml:space="preserve">2021 Power Plan </w:t>
            </w:r>
          </w:p>
        </w:tc>
      </w:tr>
      <w:tr w:rsidR="00F30E20" w:rsidRPr="00627DA0" w14:paraId="205863A5" w14:textId="77777777" w:rsidTr="009F5517">
        <w:tc>
          <w:tcPr>
            <w:tcW w:w="1800" w:type="dxa"/>
            <w:tcBorders>
              <w:top w:val="single" w:sz="4" w:space="0" w:color="auto"/>
              <w:bottom w:val="nil"/>
            </w:tcBorders>
          </w:tcPr>
          <w:p w14:paraId="5770195C" w14:textId="77777777" w:rsidR="00F30E20" w:rsidRPr="00627DA0" w:rsidRDefault="00F30E20" w:rsidP="009F5517">
            <w:pPr>
              <w:rPr>
                <w:rFonts w:cs="Calibri Light"/>
                <w:sz w:val="20"/>
                <w:szCs w:val="20"/>
              </w:rPr>
            </w:pPr>
            <w:r w:rsidRPr="00627DA0">
              <w:rPr>
                <w:sz w:val="20"/>
                <w:szCs w:val="20"/>
              </w:rPr>
              <w:t>Lighting</w:t>
            </w:r>
          </w:p>
        </w:tc>
        <w:tc>
          <w:tcPr>
            <w:tcW w:w="4433" w:type="dxa"/>
            <w:tcBorders>
              <w:top w:val="single" w:sz="4" w:space="0" w:color="auto"/>
              <w:bottom w:val="nil"/>
            </w:tcBorders>
            <w:shd w:val="clear" w:color="auto" w:fill="F2F2F2" w:themeFill="background1" w:themeFillShade="F2"/>
          </w:tcPr>
          <w:p w14:paraId="0289C3CE" w14:textId="77777777" w:rsidR="00F30E20" w:rsidRPr="00627DA0" w:rsidRDefault="00F30E20" w:rsidP="009F5517">
            <w:pPr>
              <w:rPr>
                <w:rFonts w:cs="Calibri Light"/>
                <w:sz w:val="20"/>
                <w:szCs w:val="20"/>
              </w:rPr>
            </w:pPr>
            <w:r w:rsidRPr="00627DA0">
              <w:rPr>
                <w:sz w:val="20"/>
                <w:szCs w:val="20"/>
              </w:rPr>
              <w:t>Dairy Lighting</w:t>
            </w:r>
          </w:p>
        </w:tc>
        <w:tc>
          <w:tcPr>
            <w:tcW w:w="3117" w:type="dxa"/>
            <w:tcBorders>
              <w:top w:val="single" w:sz="4" w:space="0" w:color="auto"/>
              <w:bottom w:val="nil"/>
            </w:tcBorders>
            <w:shd w:val="clear" w:color="auto" w:fill="F2F2F2" w:themeFill="background1" w:themeFillShade="F2"/>
          </w:tcPr>
          <w:p w14:paraId="7A296018" w14:textId="77777777" w:rsidR="00F30E20" w:rsidRPr="00627DA0" w:rsidRDefault="00F30E20" w:rsidP="009F5517">
            <w:pPr>
              <w:rPr>
                <w:rFonts w:cs="Calibri Light"/>
                <w:sz w:val="20"/>
                <w:szCs w:val="20"/>
              </w:rPr>
            </w:pPr>
            <w:r w:rsidRPr="00627DA0">
              <w:rPr>
                <w:sz w:val="20"/>
                <w:szCs w:val="20"/>
              </w:rPr>
              <w:t xml:space="preserve">2021 Power Plan </w:t>
            </w:r>
          </w:p>
        </w:tc>
      </w:tr>
      <w:tr w:rsidR="00F30E20" w:rsidRPr="00627DA0" w14:paraId="6ECB3CD2" w14:textId="77777777" w:rsidTr="009F5517">
        <w:tc>
          <w:tcPr>
            <w:tcW w:w="1800" w:type="dxa"/>
            <w:tcBorders>
              <w:top w:val="nil"/>
              <w:bottom w:val="single" w:sz="4" w:space="0" w:color="auto"/>
            </w:tcBorders>
          </w:tcPr>
          <w:p w14:paraId="79F38322" w14:textId="77777777" w:rsidR="00F30E20" w:rsidRPr="00627DA0" w:rsidRDefault="00F30E20" w:rsidP="009F5517">
            <w:pPr>
              <w:rPr>
                <w:rFonts w:cs="Calibri Light"/>
                <w:sz w:val="20"/>
                <w:szCs w:val="20"/>
              </w:rPr>
            </w:pPr>
          </w:p>
        </w:tc>
        <w:tc>
          <w:tcPr>
            <w:tcW w:w="4433" w:type="dxa"/>
            <w:tcBorders>
              <w:top w:val="nil"/>
              <w:bottom w:val="single" w:sz="4" w:space="0" w:color="auto"/>
            </w:tcBorders>
          </w:tcPr>
          <w:p w14:paraId="0DFAB986" w14:textId="77777777" w:rsidR="00F30E20" w:rsidRPr="00627DA0" w:rsidRDefault="00F30E20" w:rsidP="009F5517">
            <w:pPr>
              <w:rPr>
                <w:rFonts w:cs="Calibri Light"/>
                <w:sz w:val="20"/>
                <w:szCs w:val="20"/>
              </w:rPr>
            </w:pPr>
            <w:r w:rsidRPr="00627DA0">
              <w:rPr>
                <w:sz w:val="20"/>
                <w:szCs w:val="20"/>
              </w:rPr>
              <w:t>Exterior Lights</w:t>
            </w:r>
          </w:p>
        </w:tc>
        <w:tc>
          <w:tcPr>
            <w:tcW w:w="3117" w:type="dxa"/>
            <w:tcBorders>
              <w:top w:val="nil"/>
              <w:bottom w:val="single" w:sz="4" w:space="0" w:color="auto"/>
            </w:tcBorders>
          </w:tcPr>
          <w:p w14:paraId="66ABFB0E" w14:textId="77777777" w:rsidR="00F30E20" w:rsidRPr="00627DA0" w:rsidRDefault="00F30E20" w:rsidP="009F5517">
            <w:pPr>
              <w:rPr>
                <w:rFonts w:cs="Calibri Light"/>
                <w:sz w:val="20"/>
                <w:szCs w:val="20"/>
              </w:rPr>
            </w:pPr>
            <w:r w:rsidRPr="00627DA0">
              <w:rPr>
                <w:sz w:val="20"/>
                <w:szCs w:val="20"/>
              </w:rPr>
              <w:t xml:space="preserve">2021 Power Plan </w:t>
            </w:r>
          </w:p>
        </w:tc>
      </w:tr>
      <w:tr w:rsidR="00F30E20" w:rsidRPr="00627DA0" w14:paraId="74C5CB8B" w14:textId="77777777" w:rsidTr="009F5517">
        <w:tc>
          <w:tcPr>
            <w:tcW w:w="1800" w:type="dxa"/>
            <w:tcBorders>
              <w:top w:val="single" w:sz="4" w:space="0" w:color="auto"/>
              <w:bottom w:val="nil"/>
            </w:tcBorders>
          </w:tcPr>
          <w:p w14:paraId="05E94458" w14:textId="77777777" w:rsidR="00F30E20" w:rsidRPr="00627DA0" w:rsidRDefault="00F30E20" w:rsidP="009F5517">
            <w:pPr>
              <w:rPr>
                <w:rFonts w:cs="Calibri Light"/>
                <w:sz w:val="20"/>
                <w:szCs w:val="20"/>
              </w:rPr>
            </w:pPr>
            <w:r w:rsidRPr="00627DA0">
              <w:rPr>
                <w:sz w:val="20"/>
                <w:szCs w:val="20"/>
              </w:rPr>
              <w:t>Process Heating</w:t>
            </w:r>
          </w:p>
        </w:tc>
        <w:tc>
          <w:tcPr>
            <w:tcW w:w="4433" w:type="dxa"/>
            <w:tcBorders>
              <w:top w:val="single" w:sz="4" w:space="0" w:color="auto"/>
              <w:bottom w:val="nil"/>
            </w:tcBorders>
            <w:shd w:val="clear" w:color="auto" w:fill="F2F2F2" w:themeFill="background1" w:themeFillShade="F2"/>
          </w:tcPr>
          <w:p w14:paraId="60EFA7C7" w14:textId="77777777" w:rsidR="00F30E20" w:rsidRPr="00627DA0" w:rsidRDefault="00F30E20" w:rsidP="009F5517">
            <w:pPr>
              <w:rPr>
                <w:rFonts w:cs="Calibri Light"/>
                <w:sz w:val="20"/>
                <w:szCs w:val="20"/>
              </w:rPr>
            </w:pPr>
            <w:r w:rsidRPr="00627DA0">
              <w:rPr>
                <w:sz w:val="20"/>
                <w:szCs w:val="20"/>
              </w:rPr>
              <w:t>Block Heater</w:t>
            </w:r>
          </w:p>
        </w:tc>
        <w:tc>
          <w:tcPr>
            <w:tcW w:w="3117" w:type="dxa"/>
            <w:tcBorders>
              <w:top w:val="single" w:sz="4" w:space="0" w:color="auto"/>
              <w:bottom w:val="nil"/>
            </w:tcBorders>
            <w:shd w:val="clear" w:color="auto" w:fill="F2F2F2" w:themeFill="background1" w:themeFillShade="F2"/>
          </w:tcPr>
          <w:p w14:paraId="650465E4" w14:textId="77777777" w:rsidR="00F30E20" w:rsidRPr="00627DA0" w:rsidRDefault="00F30E20" w:rsidP="009F5517">
            <w:pPr>
              <w:rPr>
                <w:rFonts w:cs="Calibri Light"/>
                <w:sz w:val="20"/>
                <w:szCs w:val="20"/>
              </w:rPr>
            </w:pPr>
            <w:r w:rsidRPr="00627DA0">
              <w:rPr>
                <w:sz w:val="20"/>
                <w:szCs w:val="20"/>
              </w:rPr>
              <w:t>2021 Power Plan, RTF</w:t>
            </w:r>
          </w:p>
        </w:tc>
      </w:tr>
      <w:tr w:rsidR="00F30E20" w:rsidRPr="00627DA0" w14:paraId="00B7E7D6" w14:textId="77777777" w:rsidTr="009F5517">
        <w:tc>
          <w:tcPr>
            <w:tcW w:w="1800" w:type="dxa"/>
            <w:tcBorders>
              <w:top w:val="nil"/>
              <w:bottom w:val="single" w:sz="4" w:space="0" w:color="auto"/>
            </w:tcBorders>
          </w:tcPr>
          <w:p w14:paraId="631E8D07" w14:textId="77777777" w:rsidR="00F30E20" w:rsidRPr="00627DA0" w:rsidRDefault="00F30E20" w:rsidP="009F5517">
            <w:pPr>
              <w:rPr>
                <w:rFonts w:cs="Calibri Light"/>
                <w:sz w:val="20"/>
                <w:szCs w:val="20"/>
              </w:rPr>
            </w:pPr>
          </w:p>
        </w:tc>
        <w:tc>
          <w:tcPr>
            <w:tcW w:w="4433" w:type="dxa"/>
            <w:tcBorders>
              <w:top w:val="nil"/>
              <w:bottom w:val="single" w:sz="4" w:space="0" w:color="auto"/>
            </w:tcBorders>
          </w:tcPr>
          <w:p w14:paraId="2615375C" w14:textId="77777777" w:rsidR="00F30E20" w:rsidRPr="00627DA0" w:rsidRDefault="00F30E20" w:rsidP="009F5517">
            <w:pPr>
              <w:rPr>
                <w:rFonts w:cs="Calibri Light"/>
                <w:sz w:val="20"/>
                <w:szCs w:val="20"/>
              </w:rPr>
            </w:pPr>
            <w:r w:rsidRPr="00627DA0">
              <w:rPr>
                <w:sz w:val="20"/>
                <w:szCs w:val="20"/>
              </w:rPr>
              <w:t>Stock Tanks</w:t>
            </w:r>
          </w:p>
        </w:tc>
        <w:tc>
          <w:tcPr>
            <w:tcW w:w="3117" w:type="dxa"/>
            <w:tcBorders>
              <w:top w:val="nil"/>
              <w:bottom w:val="single" w:sz="4" w:space="0" w:color="auto"/>
            </w:tcBorders>
          </w:tcPr>
          <w:p w14:paraId="16F99AE4" w14:textId="77777777" w:rsidR="00F30E20" w:rsidRPr="00627DA0" w:rsidRDefault="00F30E20" w:rsidP="009F5517">
            <w:pPr>
              <w:rPr>
                <w:rFonts w:cs="Calibri Light"/>
                <w:sz w:val="20"/>
                <w:szCs w:val="20"/>
              </w:rPr>
            </w:pPr>
            <w:r w:rsidRPr="00627DA0">
              <w:rPr>
                <w:sz w:val="20"/>
                <w:szCs w:val="20"/>
              </w:rPr>
              <w:t xml:space="preserve">2021 Power Plan, RTF </w:t>
            </w:r>
          </w:p>
        </w:tc>
      </w:tr>
      <w:tr w:rsidR="00F30E20" w:rsidRPr="00627DA0" w14:paraId="4EF6265A" w14:textId="77777777" w:rsidTr="009F5517">
        <w:tc>
          <w:tcPr>
            <w:tcW w:w="1800" w:type="dxa"/>
            <w:tcBorders>
              <w:top w:val="single" w:sz="4" w:space="0" w:color="auto"/>
              <w:bottom w:val="single" w:sz="4" w:space="0" w:color="auto"/>
            </w:tcBorders>
          </w:tcPr>
          <w:p w14:paraId="2A45A967" w14:textId="77777777" w:rsidR="00F30E20" w:rsidRPr="00627DA0" w:rsidRDefault="00F30E20" w:rsidP="009F5517">
            <w:pPr>
              <w:rPr>
                <w:rFonts w:cs="Calibri Light"/>
                <w:sz w:val="20"/>
                <w:szCs w:val="20"/>
              </w:rPr>
            </w:pPr>
            <w:r w:rsidRPr="00627DA0">
              <w:rPr>
                <w:rFonts w:cs="Calibri Light"/>
                <w:sz w:val="20"/>
                <w:szCs w:val="20"/>
              </w:rPr>
              <w:t>Refrigeration</w:t>
            </w:r>
          </w:p>
        </w:tc>
        <w:tc>
          <w:tcPr>
            <w:tcW w:w="4433" w:type="dxa"/>
            <w:tcBorders>
              <w:top w:val="single" w:sz="4" w:space="0" w:color="auto"/>
              <w:bottom w:val="single" w:sz="4" w:space="0" w:color="auto"/>
            </w:tcBorders>
            <w:shd w:val="clear" w:color="auto" w:fill="F2F2F2" w:themeFill="background1" w:themeFillShade="F2"/>
          </w:tcPr>
          <w:p w14:paraId="4D8091C9" w14:textId="77777777" w:rsidR="00F30E20" w:rsidRPr="00627DA0" w:rsidRDefault="00F30E20" w:rsidP="009F5517">
            <w:pPr>
              <w:rPr>
                <w:sz w:val="20"/>
                <w:szCs w:val="20"/>
              </w:rPr>
            </w:pPr>
            <w:r w:rsidRPr="00627DA0">
              <w:rPr>
                <w:sz w:val="20"/>
                <w:szCs w:val="20"/>
              </w:rPr>
              <w:t>Dairy Refrigeration</w:t>
            </w:r>
          </w:p>
        </w:tc>
        <w:tc>
          <w:tcPr>
            <w:tcW w:w="3117" w:type="dxa"/>
            <w:tcBorders>
              <w:top w:val="single" w:sz="4" w:space="0" w:color="auto"/>
              <w:bottom w:val="single" w:sz="4" w:space="0" w:color="auto"/>
            </w:tcBorders>
            <w:shd w:val="clear" w:color="auto" w:fill="F2F2F2" w:themeFill="background1" w:themeFillShade="F2"/>
          </w:tcPr>
          <w:p w14:paraId="5865A84B" w14:textId="77777777" w:rsidR="00F30E20" w:rsidRPr="00627DA0" w:rsidRDefault="00F30E20" w:rsidP="009F5517">
            <w:pPr>
              <w:rPr>
                <w:rFonts w:cs="Calibri Light"/>
                <w:sz w:val="20"/>
                <w:szCs w:val="20"/>
              </w:rPr>
            </w:pPr>
            <w:r w:rsidRPr="00627DA0">
              <w:rPr>
                <w:sz w:val="20"/>
                <w:szCs w:val="20"/>
              </w:rPr>
              <w:t xml:space="preserve">2021 Power Plan </w:t>
            </w:r>
          </w:p>
        </w:tc>
      </w:tr>
      <w:tr w:rsidR="00F30E20" w:rsidRPr="00627DA0" w14:paraId="1E772487" w14:textId="77777777" w:rsidTr="009F5517">
        <w:tc>
          <w:tcPr>
            <w:tcW w:w="1800" w:type="dxa"/>
            <w:tcBorders>
              <w:top w:val="single" w:sz="4" w:space="0" w:color="auto"/>
              <w:bottom w:val="single" w:sz="4" w:space="0" w:color="auto"/>
            </w:tcBorders>
          </w:tcPr>
          <w:p w14:paraId="542A341E" w14:textId="77777777" w:rsidR="00F30E20" w:rsidRPr="00627DA0" w:rsidRDefault="00F30E20" w:rsidP="009F5517">
            <w:pPr>
              <w:rPr>
                <w:rFonts w:cs="Calibri Light"/>
                <w:sz w:val="20"/>
                <w:szCs w:val="20"/>
              </w:rPr>
            </w:pPr>
            <w:r w:rsidRPr="00627DA0">
              <w:rPr>
                <w:rFonts w:cs="Calibri Light"/>
                <w:sz w:val="20"/>
                <w:szCs w:val="20"/>
              </w:rPr>
              <w:t>Ventilation</w:t>
            </w:r>
          </w:p>
        </w:tc>
        <w:tc>
          <w:tcPr>
            <w:tcW w:w="4433" w:type="dxa"/>
            <w:tcBorders>
              <w:top w:val="single" w:sz="4" w:space="0" w:color="auto"/>
              <w:bottom w:val="single" w:sz="4" w:space="0" w:color="auto"/>
            </w:tcBorders>
          </w:tcPr>
          <w:p w14:paraId="721E528A" w14:textId="77777777" w:rsidR="00F30E20" w:rsidRPr="00627DA0" w:rsidRDefault="00F30E20" w:rsidP="009F5517">
            <w:pPr>
              <w:rPr>
                <w:sz w:val="20"/>
                <w:szCs w:val="20"/>
              </w:rPr>
            </w:pPr>
            <w:r w:rsidRPr="00627DA0">
              <w:rPr>
                <w:sz w:val="20"/>
                <w:szCs w:val="20"/>
              </w:rPr>
              <w:t>Fans</w:t>
            </w:r>
          </w:p>
        </w:tc>
        <w:tc>
          <w:tcPr>
            <w:tcW w:w="3117" w:type="dxa"/>
            <w:tcBorders>
              <w:top w:val="single" w:sz="4" w:space="0" w:color="auto"/>
              <w:bottom w:val="single" w:sz="4" w:space="0" w:color="auto"/>
            </w:tcBorders>
          </w:tcPr>
          <w:p w14:paraId="10516AB4" w14:textId="77777777" w:rsidR="00F30E20" w:rsidRPr="00627DA0" w:rsidRDefault="00F30E20" w:rsidP="009F5517">
            <w:pPr>
              <w:rPr>
                <w:rFonts w:cs="Calibri Light"/>
                <w:sz w:val="20"/>
                <w:szCs w:val="20"/>
              </w:rPr>
            </w:pPr>
            <w:r w:rsidRPr="00627DA0">
              <w:rPr>
                <w:sz w:val="20"/>
                <w:szCs w:val="20"/>
              </w:rPr>
              <w:t xml:space="preserve">2021 Power Plan </w:t>
            </w:r>
          </w:p>
        </w:tc>
      </w:tr>
    </w:tbl>
    <w:p w14:paraId="5BC11E2A" w14:textId="77777777" w:rsidR="00F30E20" w:rsidRPr="00627DA0" w:rsidRDefault="00F30E20" w:rsidP="00F30E20"/>
    <w:p w14:paraId="3728BDF3" w14:textId="77777777" w:rsidR="00F30E20" w:rsidRPr="00627DA0" w:rsidRDefault="00F30E20" w:rsidP="00556759"/>
    <w:p w14:paraId="042975B3" w14:textId="1B52D1C1" w:rsidR="00C84D89" w:rsidRPr="00627DA0" w:rsidRDefault="00C84D89">
      <w:r w:rsidRPr="00627DA0">
        <w:br w:type="page"/>
      </w:r>
    </w:p>
    <w:p w14:paraId="708E3029" w14:textId="248A9285" w:rsidR="00880A6E" w:rsidRPr="00627DA0" w:rsidRDefault="00880A6E" w:rsidP="00880A6E">
      <w:pPr>
        <w:pStyle w:val="Heading1"/>
      </w:pPr>
      <w:bookmarkStart w:id="173" w:name="_Toc207870697"/>
      <w:r w:rsidRPr="00627DA0">
        <w:lastRenderedPageBreak/>
        <w:t>Appendix V</w:t>
      </w:r>
      <w:r w:rsidR="00426454" w:rsidRPr="00627DA0">
        <w:t>I</w:t>
      </w:r>
      <w:r w:rsidRPr="00627DA0">
        <w:t xml:space="preserve">: </w:t>
      </w:r>
      <w:r w:rsidR="00625D25" w:rsidRPr="00627DA0">
        <w:t xml:space="preserve">Cost-Effective </w:t>
      </w:r>
      <w:r w:rsidRPr="00627DA0">
        <w:t>Energy Efficiency Potential by End Use</w:t>
      </w:r>
      <w:bookmarkEnd w:id="173"/>
    </w:p>
    <w:p w14:paraId="12D634C2" w14:textId="77777777" w:rsidR="00880A6E" w:rsidRPr="00627DA0" w:rsidRDefault="00880A6E" w:rsidP="00880A6E">
      <w:pPr>
        <w:pStyle w:val="Caption"/>
      </w:pPr>
    </w:p>
    <w:p w14:paraId="010D4F7A" w14:textId="4EB6E821" w:rsidR="00A215A1" w:rsidRPr="00627DA0" w:rsidRDefault="00880A6E" w:rsidP="00A215A1">
      <w:pPr>
        <w:pStyle w:val="Caption"/>
      </w:pPr>
      <w:bookmarkStart w:id="174" w:name="_Toc207870748"/>
      <w:r w:rsidRPr="00627DA0">
        <w:t xml:space="preserve">Table </w:t>
      </w:r>
      <w:fldSimple w:instr=" SEQ Table \* ARABIC ">
        <w:r w:rsidR="00431297" w:rsidRPr="00627DA0">
          <w:t>19</w:t>
        </w:r>
      </w:fldSimple>
      <w:r w:rsidRPr="00627DA0">
        <w:t xml:space="preserve">: </w:t>
      </w:r>
      <w:r w:rsidR="00625D25" w:rsidRPr="00627DA0">
        <w:t xml:space="preserve">Cost-Effective </w:t>
      </w:r>
      <w:r w:rsidRPr="00627DA0">
        <w:t>Residential Potential by End Use (</w:t>
      </w:r>
      <w:r w:rsidR="00AB0AD9" w:rsidRPr="00627DA0">
        <w:t>M</w:t>
      </w:r>
      <w:r w:rsidRPr="00627DA0">
        <w:t>W</w:t>
      </w:r>
      <w:r w:rsidR="00B67692" w:rsidRPr="00627DA0">
        <w:t>h</w:t>
      </w:r>
      <w:r w:rsidRPr="00627DA0">
        <w:t>)</w:t>
      </w:r>
      <w:bookmarkEnd w:id="174"/>
    </w:p>
    <w:tbl>
      <w:tblPr>
        <w:tblW w:w="5000" w:type="pct"/>
        <w:tblLook w:val="04A0" w:firstRow="1" w:lastRow="0" w:firstColumn="1" w:lastColumn="0" w:noHBand="0" w:noVBand="1"/>
      </w:tblPr>
      <w:tblGrid>
        <w:gridCol w:w="3130"/>
        <w:gridCol w:w="1542"/>
        <w:gridCol w:w="1583"/>
        <w:gridCol w:w="1512"/>
        <w:gridCol w:w="1593"/>
      </w:tblGrid>
      <w:tr w:rsidR="0063042B" w:rsidRPr="00627DA0" w14:paraId="3A5C8115" w14:textId="77777777" w:rsidTr="003B4531">
        <w:trPr>
          <w:trHeight w:val="330"/>
        </w:trPr>
        <w:tc>
          <w:tcPr>
            <w:tcW w:w="2009" w:type="pct"/>
            <w:tcBorders>
              <w:top w:val="single" w:sz="12" w:space="0" w:color="auto"/>
              <w:left w:val="nil"/>
              <w:bottom w:val="single" w:sz="12" w:space="0" w:color="auto"/>
              <w:right w:val="nil"/>
            </w:tcBorders>
            <w:shd w:val="clear" w:color="000000" w:fill="002C7C"/>
            <w:noWrap/>
            <w:vAlign w:val="center"/>
            <w:hideMark/>
          </w:tcPr>
          <w:p w14:paraId="2D64C782" w14:textId="77777777" w:rsidR="0063042B" w:rsidRPr="00627DA0" w:rsidRDefault="0063042B" w:rsidP="0063042B">
            <w:pPr>
              <w:spacing w:after="0" w:line="240" w:lineRule="auto"/>
              <w:jc w:val="left"/>
              <w:rPr>
                <w:rFonts w:eastAsia="Times New Roman" w:cs="Calibri Light"/>
                <w:b/>
                <w:bCs/>
                <w:color w:val="FFFFFF"/>
                <w:sz w:val="20"/>
                <w:szCs w:val="20"/>
              </w:rPr>
            </w:pPr>
            <w:r w:rsidRPr="00627DA0">
              <w:rPr>
                <w:rFonts w:eastAsia="Times New Roman" w:cs="Calibri Light"/>
                <w:b/>
                <w:bCs/>
                <w:color w:val="FFFFFF"/>
                <w:sz w:val="20"/>
                <w:szCs w:val="20"/>
              </w:rPr>
              <w:t>End Use</w:t>
            </w:r>
          </w:p>
        </w:tc>
        <w:tc>
          <w:tcPr>
            <w:tcW w:w="742" w:type="pct"/>
            <w:tcBorders>
              <w:top w:val="single" w:sz="12" w:space="0" w:color="auto"/>
              <w:left w:val="nil"/>
              <w:bottom w:val="single" w:sz="12" w:space="0" w:color="auto"/>
              <w:right w:val="nil"/>
            </w:tcBorders>
            <w:shd w:val="clear" w:color="000000" w:fill="002C7C"/>
            <w:noWrap/>
            <w:vAlign w:val="center"/>
            <w:hideMark/>
          </w:tcPr>
          <w:p w14:paraId="0E46889E" w14:textId="0B096BC4" w:rsidR="0063042B" w:rsidRPr="00627DA0" w:rsidRDefault="0063042B" w:rsidP="0063042B">
            <w:pPr>
              <w:spacing w:after="0" w:line="240" w:lineRule="auto"/>
              <w:jc w:val="right"/>
              <w:rPr>
                <w:rFonts w:eastAsia="Times New Roman" w:cs="Calibri Light"/>
                <w:b/>
                <w:bCs/>
                <w:color w:val="FFFFFF"/>
                <w:sz w:val="20"/>
                <w:szCs w:val="20"/>
              </w:rPr>
            </w:pPr>
            <w:r w:rsidRPr="00627DA0">
              <w:rPr>
                <w:rFonts w:cs="Calibri"/>
                <w:b/>
                <w:bCs/>
                <w:color w:val="FFFFFF"/>
                <w:sz w:val="20"/>
                <w:szCs w:val="20"/>
              </w:rPr>
              <w:t>2-Year</w:t>
            </w:r>
          </w:p>
        </w:tc>
        <w:tc>
          <w:tcPr>
            <w:tcW w:w="742" w:type="pct"/>
            <w:tcBorders>
              <w:top w:val="single" w:sz="12" w:space="0" w:color="auto"/>
              <w:left w:val="nil"/>
              <w:bottom w:val="single" w:sz="12" w:space="0" w:color="auto"/>
              <w:right w:val="nil"/>
            </w:tcBorders>
            <w:shd w:val="clear" w:color="000000" w:fill="002C7C"/>
            <w:noWrap/>
            <w:vAlign w:val="center"/>
            <w:hideMark/>
          </w:tcPr>
          <w:p w14:paraId="42F3C654" w14:textId="2E84AF18" w:rsidR="0063042B" w:rsidRPr="00627DA0" w:rsidRDefault="0063042B" w:rsidP="0063042B">
            <w:pPr>
              <w:spacing w:after="0" w:line="240" w:lineRule="auto"/>
              <w:jc w:val="right"/>
              <w:rPr>
                <w:rFonts w:eastAsia="Times New Roman" w:cs="Calibri Light"/>
                <w:b/>
                <w:bCs/>
                <w:color w:val="FFFFFF"/>
                <w:sz w:val="20"/>
                <w:szCs w:val="20"/>
              </w:rPr>
            </w:pPr>
            <w:r w:rsidRPr="00627DA0">
              <w:rPr>
                <w:rFonts w:cs="Calibri"/>
                <w:b/>
                <w:bCs/>
                <w:color w:val="FFFFFF"/>
                <w:sz w:val="20"/>
                <w:szCs w:val="20"/>
              </w:rPr>
              <w:t>4-Year</w:t>
            </w:r>
          </w:p>
        </w:tc>
        <w:tc>
          <w:tcPr>
            <w:tcW w:w="731" w:type="pct"/>
            <w:tcBorders>
              <w:top w:val="single" w:sz="12" w:space="0" w:color="auto"/>
              <w:left w:val="nil"/>
              <w:bottom w:val="single" w:sz="12" w:space="0" w:color="auto"/>
              <w:right w:val="nil"/>
            </w:tcBorders>
            <w:shd w:val="clear" w:color="000000" w:fill="002C7C"/>
            <w:noWrap/>
            <w:vAlign w:val="center"/>
            <w:hideMark/>
          </w:tcPr>
          <w:p w14:paraId="1D0C4F72" w14:textId="6DEF2A8A" w:rsidR="0063042B" w:rsidRPr="00627DA0" w:rsidRDefault="0063042B" w:rsidP="0063042B">
            <w:pPr>
              <w:spacing w:after="0" w:line="240" w:lineRule="auto"/>
              <w:jc w:val="right"/>
              <w:rPr>
                <w:rFonts w:eastAsia="Times New Roman" w:cs="Calibri Light"/>
                <w:b/>
                <w:bCs/>
                <w:color w:val="FFFFFF"/>
                <w:sz w:val="20"/>
                <w:szCs w:val="20"/>
              </w:rPr>
            </w:pPr>
            <w:r w:rsidRPr="00627DA0">
              <w:rPr>
                <w:rFonts w:cs="Calibri"/>
                <w:b/>
                <w:bCs/>
                <w:color w:val="FFFFFF"/>
                <w:sz w:val="20"/>
                <w:szCs w:val="20"/>
              </w:rPr>
              <w:t>10-Year</w:t>
            </w:r>
          </w:p>
        </w:tc>
        <w:tc>
          <w:tcPr>
            <w:tcW w:w="776" w:type="pct"/>
            <w:tcBorders>
              <w:top w:val="single" w:sz="12" w:space="0" w:color="auto"/>
              <w:left w:val="nil"/>
              <w:bottom w:val="single" w:sz="12" w:space="0" w:color="auto"/>
              <w:right w:val="nil"/>
            </w:tcBorders>
            <w:shd w:val="clear" w:color="000000" w:fill="002C7C"/>
            <w:noWrap/>
            <w:vAlign w:val="center"/>
            <w:hideMark/>
          </w:tcPr>
          <w:p w14:paraId="7C509477" w14:textId="2E9AC8ED" w:rsidR="0063042B" w:rsidRPr="00627DA0" w:rsidRDefault="0063042B" w:rsidP="0063042B">
            <w:pPr>
              <w:spacing w:after="0" w:line="240" w:lineRule="auto"/>
              <w:jc w:val="right"/>
              <w:rPr>
                <w:rFonts w:eastAsia="Times New Roman" w:cs="Calibri Light"/>
                <w:b/>
                <w:bCs/>
                <w:color w:val="FFFFFF"/>
                <w:sz w:val="20"/>
                <w:szCs w:val="20"/>
              </w:rPr>
            </w:pPr>
            <w:r w:rsidRPr="00627DA0">
              <w:rPr>
                <w:rFonts w:cs="Calibri"/>
                <w:b/>
                <w:bCs/>
                <w:color w:val="FFFFFF"/>
                <w:sz w:val="20"/>
                <w:szCs w:val="20"/>
              </w:rPr>
              <w:t>20-Year</w:t>
            </w:r>
          </w:p>
        </w:tc>
      </w:tr>
      <w:tr w:rsidR="005D0437" w:rsidRPr="00627DA0" w14:paraId="15A7C7C7" w14:textId="77777777" w:rsidTr="003B4531">
        <w:trPr>
          <w:trHeight w:val="315"/>
        </w:trPr>
        <w:tc>
          <w:tcPr>
            <w:tcW w:w="2009" w:type="pct"/>
            <w:tcBorders>
              <w:top w:val="nil"/>
              <w:left w:val="nil"/>
              <w:bottom w:val="nil"/>
              <w:right w:val="nil"/>
            </w:tcBorders>
            <w:noWrap/>
            <w:vAlign w:val="bottom"/>
            <w:hideMark/>
          </w:tcPr>
          <w:p w14:paraId="09D0D32E"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Appliances</w:t>
            </w:r>
          </w:p>
        </w:tc>
        <w:tc>
          <w:tcPr>
            <w:tcW w:w="742" w:type="pct"/>
            <w:tcBorders>
              <w:top w:val="nil"/>
              <w:left w:val="nil"/>
              <w:bottom w:val="nil"/>
              <w:right w:val="nil"/>
            </w:tcBorders>
            <w:noWrap/>
            <w:vAlign w:val="bottom"/>
            <w:hideMark/>
          </w:tcPr>
          <w:p w14:paraId="2B42494E" w14:textId="51211AA9"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523 </w:t>
            </w:r>
          </w:p>
        </w:tc>
        <w:tc>
          <w:tcPr>
            <w:tcW w:w="742" w:type="pct"/>
            <w:tcBorders>
              <w:top w:val="nil"/>
              <w:left w:val="nil"/>
              <w:bottom w:val="nil"/>
              <w:right w:val="nil"/>
            </w:tcBorders>
            <w:noWrap/>
            <w:vAlign w:val="bottom"/>
            <w:hideMark/>
          </w:tcPr>
          <w:p w14:paraId="2902F4A7" w14:textId="2D0DC43F"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1,497 </w:t>
            </w:r>
          </w:p>
        </w:tc>
        <w:tc>
          <w:tcPr>
            <w:tcW w:w="731" w:type="pct"/>
            <w:tcBorders>
              <w:top w:val="nil"/>
              <w:left w:val="nil"/>
              <w:bottom w:val="nil"/>
              <w:right w:val="nil"/>
            </w:tcBorders>
            <w:noWrap/>
            <w:vAlign w:val="bottom"/>
            <w:hideMark/>
          </w:tcPr>
          <w:p w14:paraId="717070CC" w14:textId="01FDAE15"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8,530 </w:t>
            </w:r>
          </w:p>
        </w:tc>
        <w:tc>
          <w:tcPr>
            <w:tcW w:w="776" w:type="pct"/>
            <w:tcBorders>
              <w:top w:val="nil"/>
              <w:left w:val="nil"/>
              <w:bottom w:val="nil"/>
              <w:right w:val="nil"/>
            </w:tcBorders>
            <w:noWrap/>
            <w:vAlign w:val="bottom"/>
            <w:hideMark/>
          </w:tcPr>
          <w:p w14:paraId="01A442EA" w14:textId="73002F42"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34,924 </w:t>
            </w:r>
          </w:p>
        </w:tc>
      </w:tr>
      <w:tr w:rsidR="005D0437" w:rsidRPr="00627DA0" w14:paraId="3389C0C0" w14:textId="77777777" w:rsidTr="003B4531">
        <w:trPr>
          <w:trHeight w:val="300"/>
        </w:trPr>
        <w:tc>
          <w:tcPr>
            <w:tcW w:w="2009" w:type="pct"/>
            <w:tcBorders>
              <w:top w:val="nil"/>
              <w:left w:val="nil"/>
              <w:bottom w:val="nil"/>
              <w:right w:val="nil"/>
            </w:tcBorders>
            <w:shd w:val="clear" w:color="000000" w:fill="F2F2F2"/>
            <w:noWrap/>
            <w:vAlign w:val="bottom"/>
            <w:hideMark/>
          </w:tcPr>
          <w:p w14:paraId="60A7DCAF"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Cooking</w:t>
            </w:r>
          </w:p>
        </w:tc>
        <w:tc>
          <w:tcPr>
            <w:tcW w:w="742" w:type="pct"/>
            <w:tcBorders>
              <w:top w:val="nil"/>
              <w:left w:val="nil"/>
              <w:bottom w:val="nil"/>
              <w:right w:val="nil"/>
            </w:tcBorders>
            <w:shd w:val="clear" w:color="000000" w:fill="F2F2F2"/>
            <w:noWrap/>
            <w:vAlign w:val="bottom"/>
            <w:hideMark/>
          </w:tcPr>
          <w:p w14:paraId="22C9FE2E" w14:textId="57FA671C"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2 </w:t>
            </w:r>
          </w:p>
        </w:tc>
        <w:tc>
          <w:tcPr>
            <w:tcW w:w="742" w:type="pct"/>
            <w:tcBorders>
              <w:top w:val="nil"/>
              <w:left w:val="nil"/>
              <w:bottom w:val="nil"/>
              <w:right w:val="nil"/>
            </w:tcBorders>
            <w:shd w:val="clear" w:color="000000" w:fill="F2F2F2"/>
            <w:noWrap/>
            <w:vAlign w:val="bottom"/>
            <w:hideMark/>
          </w:tcPr>
          <w:p w14:paraId="3A28E95A" w14:textId="45FC799C"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9 </w:t>
            </w:r>
          </w:p>
        </w:tc>
        <w:tc>
          <w:tcPr>
            <w:tcW w:w="731" w:type="pct"/>
            <w:tcBorders>
              <w:top w:val="nil"/>
              <w:left w:val="nil"/>
              <w:bottom w:val="nil"/>
              <w:right w:val="nil"/>
            </w:tcBorders>
            <w:shd w:val="clear" w:color="000000" w:fill="F2F2F2"/>
            <w:noWrap/>
            <w:vAlign w:val="bottom"/>
            <w:hideMark/>
          </w:tcPr>
          <w:p w14:paraId="4E8CF5D7" w14:textId="792D5279"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103 </w:t>
            </w:r>
          </w:p>
        </w:tc>
        <w:tc>
          <w:tcPr>
            <w:tcW w:w="776" w:type="pct"/>
            <w:tcBorders>
              <w:top w:val="nil"/>
              <w:left w:val="nil"/>
              <w:bottom w:val="nil"/>
              <w:right w:val="nil"/>
            </w:tcBorders>
            <w:shd w:val="clear" w:color="000000" w:fill="F2F2F2"/>
            <w:noWrap/>
            <w:vAlign w:val="bottom"/>
            <w:hideMark/>
          </w:tcPr>
          <w:p w14:paraId="10C01246" w14:textId="59FB8742"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616 </w:t>
            </w:r>
          </w:p>
        </w:tc>
      </w:tr>
      <w:tr w:rsidR="005D0437" w:rsidRPr="00627DA0" w14:paraId="16FD54F4" w14:textId="77777777" w:rsidTr="003B4531">
        <w:trPr>
          <w:trHeight w:val="300"/>
        </w:trPr>
        <w:tc>
          <w:tcPr>
            <w:tcW w:w="2009" w:type="pct"/>
            <w:tcBorders>
              <w:top w:val="nil"/>
              <w:left w:val="nil"/>
              <w:bottom w:val="nil"/>
              <w:right w:val="nil"/>
            </w:tcBorders>
            <w:noWrap/>
            <w:vAlign w:val="bottom"/>
            <w:hideMark/>
          </w:tcPr>
          <w:p w14:paraId="46B45DDE"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Electronics</w:t>
            </w:r>
          </w:p>
        </w:tc>
        <w:tc>
          <w:tcPr>
            <w:tcW w:w="742" w:type="pct"/>
            <w:tcBorders>
              <w:top w:val="nil"/>
              <w:left w:val="nil"/>
              <w:bottom w:val="nil"/>
              <w:right w:val="nil"/>
            </w:tcBorders>
            <w:noWrap/>
            <w:vAlign w:val="bottom"/>
            <w:hideMark/>
          </w:tcPr>
          <w:p w14:paraId="1081D881" w14:textId="67B5884A"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24 </w:t>
            </w:r>
          </w:p>
        </w:tc>
        <w:tc>
          <w:tcPr>
            <w:tcW w:w="742" w:type="pct"/>
            <w:tcBorders>
              <w:top w:val="nil"/>
              <w:left w:val="nil"/>
              <w:bottom w:val="nil"/>
              <w:right w:val="nil"/>
            </w:tcBorders>
            <w:noWrap/>
            <w:vAlign w:val="bottom"/>
            <w:hideMark/>
          </w:tcPr>
          <w:p w14:paraId="605B91F2" w14:textId="6F38F709"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93 </w:t>
            </w:r>
          </w:p>
        </w:tc>
        <w:tc>
          <w:tcPr>
            <w:tcW w:w="731" w:type="pct"/>
            <w:tcBorders>
              <w:top w:val="nil"/>
              <w:left w:val="nil"/>
              <w:bottom w:val="nil"/>
              <w:right w:val="nil"/>
            </w:tcBorders>
            <w:noWrap/>
            <w:vAlign w:val="bottom"/>
            <w:hideMark/>
          </w:tcPr>
          <w:p w14:paraId="33FADCE3" w14:textId="392AB3F4"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1,215 </w:t>
            </w:r>
          </w:p>
        </w:tc>
        <w:tc>
          <w:tcPr>
            <w:tcW w:w="776" w:type="pct"/>
            <w:tcBorders>
              <w:top w:val="nil"/>
              <w:left w:val="nil"/>
              <w:bottom w:val="nil"/>
              <w:right w:val="nil"/>
            </w:tcBorders>
            <w:noWrap/>
            <w:vAlign w:val="bottom"/>
            <w:hideMark/>
          </w:tcPr>
          <w:p w14:paraId="39F8C07D" w14:textId="44B36D6E"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4,103 </w:t>
            </w:r>
          </w:p>
        </w:tc>
      </w:tr>
      <w:tr w:rsidR="005D0437" w:rsidRPr="00627DA0" w14:paraId="1DC15B08" w14:textId="77777777" w:rsidTr="003B4531">
        <w:trPr>
          <w:trHeight w:val="300"/>
        </w:trPr>
        <w:tc>
          <w:tcPr>
            <w:tcW w:w="2009" w:type="pct"/>
            <w:tcBorders>
              <w:top w:val="nil"/>
              <w:left w:val="nil"/>
              <w:bottom w:val="nil"/>
              <w:right w:val="nil"/>
            </w:tcBorders>
            <w:shd w:val="clear" w:color="000000" w:fill="F2F2F2"/>
            <w:noWrap/>
            <w:vAlign w:val="bottom"/>
            <w:hideMark/>
          </w:tcPr>
          <w:p w14:paraId="0FB0CA71"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EVSE</w:t>
            </w:r>
          </w:p>
        </w:tc>
        <w:tc>
          <w:tcPr>
            <w:tcW w:w="742" w:type="pct"/>
            <w:tcBorders>
              <w:top w:val="nil"/>
              <w:left w:val="nil"/>
              <w:bottom w:val="nil"/>
              <w:right w:val="nil"/>
            </w:tcBorders>
            <w:shd w:val="clear" w:color="000000" w:fill="F2F2F2"/>
            <w:noWrap/>
            <w:vAlign w:val="bottom"/>
            <w:hideMark/>
          </w:tcPr>
          <w:p w14:paraId="0C531491" w14:textId="08A8D8B8"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42" w:type="pct"/>
            <w:tcBorders>
              <w:top w:val="nil"/>
              <w:left w:val="nil"/>
              <w:bottom w:val="nil"/>
              <w:right w:val="nil"/>
            </w:tcBorders>
            <w:shd w:val="clear" w:color="000000" w:fill="F2F2F2"/>
            <w:noWrap/>
            <w:vAlign w:val="bottom"/>
            <w:hideMark/>
          </w:tcPr>
          <w:p w14:paraId="6A48A509" w14:textId="11728715"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31" w:type="pct"/>
            <w:tcBorders>
              <w:top w:val="nil"/>
              <w:left w:val="nil"/>
              <w:bottom w:val="nil"/>
              <w:right w:val="nil"/>
            </w:tcBorders>
            <w:shd w:val="clear" w:color="000000" w:fill="F2F2F2"/>
            <w:noWrap/>
            <w:vAlign w:val="bottom"/>
            <w:hideMark/>
          </w:tcPr>
          <w:p w14:paraId="7FF04A78" w14:textId="440CEC91"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76" w:type="pct"/>
            <w:tcBorders>
              <w:top w:val="nil"/>
              <w:left w:val="nil"/>
              <w:bottom w:val="nil"/>
              <w:right w:val="nil"/>
            </w:tcBorders>
            <w:shd w:val="clear" w:color="000000" w:fill="F2F2F2"/>
            <w:noWrap/>
            <w:vAlign w:val="bottom"/>
            <w:hideMark/>
          </w:tcPr>
          <w:p w14:paraId="4065D5A1" w14:textId="247FAFD6"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r>
      <w:tr w:rsidR="005D0437" w:rsidRPr="00627DA0" w14:paraId="25F36EFB" w14:textId="77777777" w:rsidTr="003B4531">
        <w:trPr>
          <w:trHeight w:val="300"/>
        </w:trPr>
        <w:tc>
          <w:tcPr>
            <w:tcW w:w="2009" w:type="pct"/>
            <w:tcBorders>
              <w:top w:val="nil"/>
              <w:left w:val="nil"/>
              <w:bottom w:val="nil"/>
              <w:right w:val="nil"/>
            </w:tcBorders>
            <w:noWrap/>
            <w:vAlign w:val="bottom"/>
            <w:hideMark/>
          </w:tcPr>
          <w:p w14:paraId="1DCDF7B5"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HVAC</w:t>
            </w:r>
          </w:p>
        </w:tc>
        <w:tc>
          <w:tcPr>
            <w:tcW w:w="742" w:type="pct"/>
            <w:tcBorders>
              <w:top w:val="nil"/>
              <w:left w:val="nil"/>
              <w:bottom w:val="nil"/>
              <w:right w:val="nil"/>
            </w:tcBorders>
            <w:noWrap/>
            <w:vAlign w:val="bottom"/>
            <w:hideMark/>
          </w:tcPr>
          <w:p w14:paraId="01A49E45" w14:textId="1DDEE473"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816 </w:t>
            </w:r>
          </w:p>
        </w:tc>
        <w:tc>
          <w:tcPr>
            <w:tcW w:w="742" w:type="pct"/>
            <w:tcBorders>
              <w:top w:val="nil"/>
              <w:left w:val="nil"/>
              <w:bottom w:val="nil"/>
              <w:right w:val="nil"/>
            </w:tcBorders>
            <w:noWrap/>
            <w:vAlign w:val="bottom"/>
            <w:hideMark/>
          </w:tcPr>
          <w:p w14:paraId="2358636F" w14:textId="04FEE3B4"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2,620 </w:t>
            </w:r>
          </w:p>
        </w:tc>
        <w:tc>
          <w:tcPr>
            <w:tcW w:w="731" w:type="pct"/>
            <w:tcBorders>
              <w:top w:val="nil"/>
              <w:left w:val="nil"/>
              <w:bottom w:val="nil"/>
              <w:right w:val="nil"/>
            </w:tcBorders>
            <w:noWrap/>
            <w:vAlign w:val="bottom"/>
            <w:hideMark/>
          </w:tcPr>
          <w:p w14:paraId="10EB4CCE" w14:textId="51EB17ED"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14,982 </w:t>
            </w:r>
          </w:p>
        </w:tc>
        <w:tc>
          <w:tcPr>
            <w:tcW w:w="776" w:type="pct"/>
            <w:tcBorders>
              <w:top w:val="nil"/>
              <w:left w:val="nil"/>
              <w:bottom w:val="nil"/>
              <w:right w:val="nil"/>
            </w:tcBorders>
            <w:noWrap/>
            <w:vAlign w:val="bottom"/>
            <w:hideMark/>
          </w:tcPr>
          <w:p w14:paraId="2DEE31A6" w14:textId="32F5AE4F"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35,893 </w:t>
            </w:r>
          </w:p>
        </w:tc>
      </w:tr>
      <w:tr w:rsidR="005D0437" w:rsidRPr="00627DA0" w14:paraId="62FE390B" w14:textId="77777777" w:rsidTr="003B4531">
        <w:trPr>
          <w:trHeight w:val="300"/>
        </w:trPr>
        <w:tc>
          <w:tcPr>
            <w:tcW w:w="2009" w:type="pct"/>
            <w:tcBorders>
              <w:top w:val="nil"/>
              <w:left w:val="nil"/>
              <w:bottom w:val="nil"/>
              <w:right w:val="nil"/>
            </w:tcBorders>
            <w:shd w:val="clear" w:color="000000" w:fill="F2F2F2"/>
            <w:noWrap/>
            <w:vAlign w:val="bottom"/>
            <w:hideMark/>
          </w:tcPr>
          <w:p w14:paraId="06F561D3"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Lighting</w:t>
            </w:r>
          </w:p>
        </w:tc>
        <w:tc>
          <w:tcPr>
            <w:tcW w:w="742" w:type="pct"/>
            <w:tcBorders>
              <w:top w:val="nil"/>
              <w:left w:val="nil"/>
              <w:bottom w:val="nil"/>
              <w:right w:val="nil"/>
            </w:tcBorders>
            <w:shd w:val="clear" w:color="000000" w:fill="F2F2F2"/>
            <w:noWrap/>
            <w:vAlign w:val="bottom"/>
            <w:hideMark/>
          </w:tcPr>
          <w:p w14:paraId="0EB69430" w14:textId="5480C333"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94 </w:t>
            </w:r>
          </w:p>
        </w:tc>
        <w:tc>
          <w:tcPr>
            <w:tcW w:w="742" w:type="pct"/>
            <w:tcBorders>
              <w:top w:val="nil"/>
              <w:left w:val="nil"/>
              <w:bottom w:val="nil"/>
              <w:right w:val="nil"/>
            </w:tcBorders>
            <w:shd w:val="clear" w:color="000000" w:fill="F2F2F2"/>
            <w:noWrap/>
            <w:vAlign w:val="bottom"/>
            <w:hideMark/>
          </w:tcPr>
          <w:p w14:paraId="0D5FBDEF" w14:textId="63593CEC"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254 </w:t>
            </w:r>
          </w:p>
        </w:tc>
        <w:tc>
          <w:tcPr>
            <w:tcW w:w="731" w:type="pct"/>
            <w:tcBorders>
              <w:top w:val="nil"/>
              <w:left w:val="nil"/>
              <w:bottom w:val="nil"/>
              <w:right w:val="nil"/>
            </w:tcBorders>
            <w:shd w:val="clear" w:color="000000" w:fill="F2F2F2"/>
            <w:noWrap/>
            <w:vAlign w:val="bottom"/>
            <w:hideMark/>
          </w:tcPr>
          <w:p w14:paraId="2D063668" w14:textId="4ACDE8D5"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1,544 </w:t>
            </w:r>
          </w:p>
        </w:tc>
        <w:tc>
          <w:tcPr>
            <w:tcW w:w="776" w:type="pct"/>
            <w:tcBorders>
              <w:top w:val="nil"/>
              <w:left w:val="nil"/>
              <w:bottom w:val="nil"/>
              <w:right w:val="nil"/>
            </w:tcBorders>
            <w:shd w:val="clear" w:color="000000" w:fill="F2F2F2"/>
            <w:noWrap/>
            <w:vAlign w:val="bottom"/>
            <w:hideMark/>
          </w:tcPr>
          <w:p w14:paraId="6261F4EE" w14:textId="77677090"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6,562 </w:t>
            </w:r>
          </w:p>
        </w:tc>
      </w:tr>
      <w:tr w:rsidR="005D0437" w:rsidRPr="00627DA0" w14:paraId="3C357A20" w14:textId="77777777" w:rsidTr="003B4531">
        <w:trPr>
          <w:trHeight w:val="300"/>
        </w:trPr>
        <w:tc>
          <w:tcPr>
            <w:tcW w:w="2009" w:type="pct"/>
            <w:tcBorders>
              <w:top w:val="nil"/>
              <w:left w:val="nil"/>
              <w:bottom w:val="nil"/>
              <w:right w:val="nil"/>
            </w:tcBorders>
            <w:noWrap/>
            <w:vAlign w:val="bottom"/>
            <w:hideMark/>
          </w:tcPr>
          <w:p w14:paraId="4DDF56C7"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Motors</w:t>
            </w:r>
          </w:p>
        </w:tc>
        <w:tc>
          <w:tcPr>
            <w:tcW w:w="742" w:type="pct"/>
            <w:tcBorders>
              <w:top w:val="nil"/>
              <w:left w:val="nil"/>
              <w:bottom w:val="nil"/>
              <w:right w:val="nil"/>
            </w:tcBorders>
            <w:noWrap/>
            <w:vAlign w:val="bottom"/>
            <w:hideMark/>
          </w:tcPr>
          <w:p w14:paraId="0C10ECD5" w14:textId="48277B56"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42" w:type="pct"/>
            <w:tcBorders>
              <w:top w:val="nil"/>
              <w:left w:val="nil"/>
              <w:bottom w:val="nil"/>
              <w:right w:val="nil"/>
            </w:tcBorders>
            <w:noWrap/>
            <w:vAlign w:val="bottom"/>
            <w:hideMark/>
          </w:tcPr>
          <w:p w14:paraId="005A675F" w14:textId="56CA98DC"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31" w:type="pct"/>
            <w:tcBorders>
              <w:top w:val="nil"/>
              <w:left w:val="nil"/>
              <w:bottom w:val="nil"/>
              <w:right w:val="nil"/>
            </w:tcBorders>
            <w:noWrap/>
            <w:vAlign w:val="bottom"/>
            <w:hideMark/>
          </w:tcPr>
          <w:p w14:paraId="273C5FA3" w14:textId="6A9C474A"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76" w:type="pct"/>
            <w:tcBorders>
              <w:top w:val="nil"/>
              <w:left w:val="nil"/>
              <w:bottom w:val="nil"/>
              <w:right w:val="nil"/>
            </w:tcBorders>
            <w:noWrap/>
            <w:vAlign w:val="bottom"/>
            <w:hideMark/>
          </w:tcPr>
          <w:p w14:paraId="522DA591" w14:textId="11EF3379"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r>
      <w:tr w:rsidR="005D0437" w:rsidRPr="00627DA0" w14:paraId="02CA3AAA" w14:textId="77777777" w:rsidTr="003B4531">
        <w:trPr>
          <w:trHeight w:val="300"/>
        </w:trPr>
        <w:tc>
          <w:tcPr>
            <w:tcW w:w="2009" w:type="pct"/>
            <w:tcBorders>
              <w:top w:val="nil"/>
              <w:left w:val="nil"/>
              <w:bottom w:val="nil"/>
              <w:right w:val="nil"/>
            </w:tcBorders>
            <w:shd w:val="clear" w:color="000000" w:fill="F2F2F2"/>
            <w:noWrap/>
            <w:vAlign w:val="bottom"/>
            <w:hideMark/>
          </w:tcPr>
          <w:p w14:paraId="6A9AFE48"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Water Heat</w:t>
            </w:r>
          </w:p>
        </w:tc>
        <w:tc>
          <w:tcPr>
            <w:tcW w:w="742" w:type="pct"/>
            <w:tcBorders>
              <w:top w:val="nil"/>
              <w:left w:val="nil"/>
              <w:bottom w:val="nil"/>
              <w:right w:val="nil"/>
            </w:tcBorders>
            <w:shd w:val="clear" w:color="000000" w:fill="F2F2F2"/>
            <w:noWrap/>
            <w:vAlign w:val="bottom"/>
            <w:hideMark/>
          </w:tcPr>
          <w:p w14:paraId="5719F622" w14:textId="43E07A6F"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319 </w:t>
            </w:r>
          </w:p>
        </w:tc>
        <w:tc>
          <w:tcPr>
            <w:tcW w:w="742" w:type="pct"/>
            <w:tcBorders>
              <w:top w:val="nil"/>
              <w:left w:val="nil"/>
              <w:bottom w:val="nil"/>
              <w:right w:val="nil"/>
            </w:tcBorders>
            <w:shd w:val="clear" w:color="000000" w:fill="F2F2F2"/>
            <w:noWrap/>
            <w:vAlign w:val="bottom"/>
            <w:hideMark/>
          </w:tcPr>
          <w:p w14:paraId="1A04585C" w14:textId="62A23A7C"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1,111 </w:t>
            </w:r>
          </w:p>
        </w:tc>
        <w:tc>
          <w:tcPr>
            <w:tcW w:w="731" w:type="pct"/>
            <w:tcBorders>
              <w:top w:val="nil"/>
              <w:left w:val="nil"/>
              <w:bottom w:val="nil"/>
              <w:right w:val="nil"/>
            </w:tcBorders>
            <w:shd w:val="clear" w:color="000000" w:fill="F2F2F2"/>
            <w:noWrap/>
            <w:vAlign w:val="bottom"/>
            <w:hideMark/>
          </w:tcPr>
          <w:p w14:paraId="33BE8B61" w14:textId="201048BF"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8,088 </w:t>
            </w:r>
          </w:p>
        </w:tc>
        <w:tc>
          <w:tcPr>
            <w:tcW w:w="776" w:type="pct"/>
            <w:tcBorders>
              <w:top w:val="nil"/>
              <w:left w:val="nil"/>
              <w:bottom w:val="nil"/>
              <w:right w:val="nil"/>
            </w:tcBorders>
            <w:shd w:val="clear" w:color="000000" w:fill="F2F2F2"/>
            <w:noWrap/>
            <w:vAlign w:val="bottom"/>
            <w:hideMark/>
          </w:tcPr>
          <w:p w14:paraId="2FF5C66E" w14:textId="06EE0F35"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26,958 </w:t>
            </w:r>
          </w:p>
        </w:tc>
      </w:tr>
      <w:tr w:rsidR="005D0437" w:rsidRPr="00627DA0" w14:paraId="2ACBD2AC" w14:textId="77777777" w:rsidTr="00DC2B9B">
        <w:trPr>
          <w:trHeight w:val="315"/>
        </w:trPr>
        <w:tc>
          <w:tcPr>
            <w:tcW w:w="2009" w:type="pct"/>
            <w:tcBorders>
              <w:top w:val="nil"/>
              <w:left w:val="nil"/>
              <w:bottom w:val="single" w:sz="8" w:space="0" w:color="auto"/>
              <w:right w:val="nil"/>
            </w:tcBorders>
            <w:noWrap/>
            <w:vAlign w:val="bottom"/>
            <w:hideMark/>
          </w:tcPr>
          <w:p w14:paraId="233930ED" w14:textId="77777777" w:rsidR="005D0437" w:rsidRPr="00627DA0" w:rsidRDefault="005D0437" w:rsidP="005D0437">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Whole Home</w:t>
            </w:r>
          </w:p>
        </w:tc>
        <w:tc>
          <w:tcPr>
            <w:tcW w:w="742" w:type="pct"/>
            <w:tcBorders>
              <w:top w:val="nil"/>
              <w:left w:val="nil"/>
              <w:bottom w:val="single" w:sz="8" w:space="0" w:color="auto"/>
              <w:right w:val="nil"/>
            </w:tcBorders>
            <w:noWrap/>
            <w:vAlign w:val="bottom"/>
            <w:hideMark/>
          </w:tcPr>
          <w:p w14:paraId="6416AB2C" w14:textId="675BB751"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42" w:type="pct"/>
            <w:tcBorders>
              <w:top w:val="nil"/>
              <w:left w:val="nil"/>
              <w:bottom w:val="single" w:sz="8" w:space="0" w:color="auto"/>
              <w:right w:val="nil"/>
            </w:tcBorders>
            <w:noWrap/>
            <w:vAlign w:val="bottom"/>
            <w:hideMark/>
          </w:tcPr>
          <w:p w14:paraId="54B194DE" w14:textId="10B3C4E9"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31" w:type="pct"/>
            <w:tcBorders>
              <w:top w:val="nil"/>
              <w:left w:val="nil"/>
              <w:bottom w:val="single" w:sz="8" w:space="0" w:color="auto"/>
              <w:right w:val="nil"/>
            </w:tcBorders>
            <w:noWrap/>
            <w:vAlign w:val="bottom"/>
            <w:hideMark/>
          </w:tcPr>
          <w:p w14:paraId="3BA8F957" w14:textId="1E90B697"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76" w:type="pct"/>
            <w:tcBorders>
              <w:top w:val="nil"/>
              <w:left w:val="nil"/>
              <w:bottom w:val="single" w:sz="8" w:space="0" w:color="auto"/>
              <w:right w:val="nil"/>
            </w:tcBorders>
            <w:noWrap/>
            <w:vAlign w:val="bottom"/>
            <w:hideMark/>
          </w:tcPr>
          <w:p w14:paraId="5C725FA3" w14:textId="57A89E6D" w:rsidR="005D0437" w:rsidRPr="00627DA0" w:rsidRDefault="005D0437" w:rsidP="005D0437">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r>
      <w:tr w:rsidR="005D0437" w:rsidRPr="00627DA0" w14:paraId="47C3DF44" w14:textId="77777777" w:rsidTr="00DC2B9B">
        <w:trPr>
          <w:trHeight w:val="315"/>
        </w:trPr>
        <w:tc>
          <w:tcPr>
            <w:tcW w:w="2009" w:type="pct"/>
            <w:tcBorders>
              <w:top w:val="nil"/>
              <w:left w:val="nil"/>
              <w:bottom w:val="single" w:sz="12" w:space="0" w:color="auto"/>
              <w:right w:val="nil"/>
            </w:tcBorders>
            <w:shd w:val="clear" w:color="000000" w:fill="F2F2F2"/>
            <w:noWrap/>
            <w:vAlign w:val="center"/>
            <w:hideMark/>
          </w:tcPr>
          <w:p w14:paraId="685DDDE2" w14:textId="77777777" w:rsidR="005D0437" w:rsidRPr="00627DA0" w:rsidRDefault="005D0437" w:rsidP="005D0437">
            <w:pPr>
              <w:spacing w:after="0" w:line="240" w:lineRule="auto"/>
              <w:jc w:val="left"/>
              <w:rPr>
                <w:rFonts w:eastAsia="Times New Roman" w:cs="Calibri Light"/>
                <w:b/>
                <w:bCs/>
                <w:color w:val="000000"/>
                <w:sz w:val="20"/>
                <w:szCs w:val="20"/>
              </w:rPr>
            </w:pPr>
            <w:r w:rsidRPr="00627DA0">
              <w:rPr>
                <w:rFonts w:eastAsia="Times New Roman" w:cs="Calibri Light"/>
                <w:b/>
                <w:bCs/>
                <w:color w:val="000000"/>
                <w:sz w:val="20"/>
                <w:szCs w:val="20"/>
              </w:rPr>
              <w:t>Total</w:t>
            </w:r>
          </w:p>
        </w:tc>
        <w:tc>
          <w:tcPr>
            <w:tcW w:w="742" w:type="pct"/>
            <w:tcBorders>
              <w:top w:val="nil"/>
              <w:left w:val="nil"/>
              <w:bottom w:val="single" w:sz="12" w:space="0" w:color="auto"/>
              <w:right w:val="nil"/>
            </w:tcBorders>
            <w:shd w:val="clear" w:color="000000" w:fill="F2F2F2"/>
            <w:noWrap/>
            <w:vAlign w:val="center"/>
            <w:hideMark/>
          </w:tcPr>
          <w:p w14:paraId="7416194A" w14:textId="7D652837" w:rsidR="005D0437" w:rsidRPr="00627DA0" w:rsidRDefault="005D0437" w:rsidP="005D0437">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1,779 </w:t>
            </w:r>
          </w:p>
        </w:tc>
        <w:tc>
          <w:tcPr>
            <w:tcW w:w="742" w:type="pct"/>
            <w:tcBorders>
              <w:top w:val="single" w:sz="8" w:space="0" w:color="auto"/>
              <w:left w:val="nil"/>
              <w:bottom w:val="single" w:sz="12" w:space="0" w:color="auto"/>
              <w:right w:val="nil"/>
            </w:tcBorders>
            <w:shd w:val="clear" w:color="000000" w:fill="F2F2F2"/>
            <w:noWrap/>
            <w:vAlign w:val="center"/>
            <w:hideMark/>
          </w:tcPr>
          <w:p w14:paraId="0ED52532" w14:textId="147DC49E" w:rsidR="005D0437" w:rsidRPr="00627DA0" w:rsidRDefault="005D0437" w:rsidP="005D0437">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5,584 </w:t>
            </w:r>
          </w:p>
        </w:tc>
        <w:tc>
          <w:tcPr>
            <w:tcW w:w="731" w:type="pct"/>
            <w:tcBorders>
              <w:top w:val="single" w:sz="8" w:space="0" w:color="auto"/>
              <w:left w:val="nil"/>
              <w:bottom w:val="single" w:sz="12" w:space="0" w:color="auto"/>
              <w:right w:val="nil"/>
            </w:tcBorders>
            <w:shd w:val="clear" w:color="000000" w:fill="F2F2F2"/>
            <w:noWrap/>
            <w:vAlign w:val="center"/>
            <w:hideMark/>
          </w:tcPr>
          <w:p w14:paraId="2200A5A4" w14:textId="0A2C4625" w:rsidR="005D0437" w:rsidRPr="00627DA0" w:rsidRDefault="005D0437" w:rsidP="005D0437">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34,462 </w:t>
            </w:r>
          </w:p>
        </w:tc>
        <w:tc>
          <w:tcPr>
            <w:tcW w:w="776" w:type="pct"/>
            <w:tcBorders>
              <w:top w:val="single" w:sz="8" w:space="0" w:color="auto"/>
              <w:left w:val="nil"/>
              <w:bottom w:val="single" w:sz="12" w:space="0" w:color="auto"/>
              <w:right w:val="nil"/>
            </w:tcBorders>
            <w:shd w:val="clear" w:color="000000" w:fill="F2F2F2"/>
            <w:noWrap/>
            <w:vAlign w:val="center"/>
            <w:hideMark/>
          </w:tcPr>
          <w:p w14:paraId="0DDF3A15" w14:textId="0DD15566" w:rsidR="005D0437" w:rsidRPr="00627DA0" w:rsidRDefault="005D0437" w:rsidP="005D0437">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109,057 </w:t>
            </w:r>
          </w:p>
        </w:tc>
      </w:tr>
    </w:tbl>
    <w:p w14:paraId="668AEEAF" w14:textId="2249652D" w:rsidR="00880A6E" w:rsidRPr="00627DA0" w:rsidRDefault="00880A6E" w:rsidP="00880A6E"/>
    <w:p w14:paraId="01074065" w14:textId="51C1BAB4" w:rsidR="00BC23E0" w:rsidRPr="00627DA0" w:rsidRDefault="00BC23E0" w:rsidP="007B630C">
      <w:pPr>
        <w:pStyle w:val="Caption"/>
      </w:pPr>
      <w:bookmarkStart w:id="175" w:name="_Toc207870749"/>
      <w:r w:rsidRPr="00627DA0">
        <w:t xml:space="preserve">Table </w:t>
      </w:r>
      <w:fldSimple w:instr=" SEQ Table \* ARABIC ">
        <w:r w:rsidR="00431297" w:rsidRPr="00627DA0">
          <w:t>20</w:t>
        </w:r>
      </w:fldSimple>
      <w:r w:rsidRPr="00627DA0">
        <w:t xml:space="preserve">: </w:t>
      </w:r>
      <w:r w:rsidR="00625D25" w:rsidRPr="00627DA0">
        <w:t xml:space="preserve">Cost-Effective </w:t>
      </w:r>
      <w:r w:rsidRPr="00627DA0">
        <w:t>Commercial Potential by End Use (MW</w:t>
      </w:r>
      <w:r w:rsidR="0060473A" w:rsidRPr="00627DA0">
        <w:t>h</w:t>
      </w:r>
      <w:r w:rsidRPr="00627DA0">
        <w:t>)</w:t>
      </w:r>
      <w:bookmarkEnd w:id="175"/>
    </w:p>
    <w:tbl>
      <w:tblPr>
        <w:tblW w:w="5000" w:type="pct"/>
        <w:tblLook w:val="04A0" w:firstRow="1" w:lastRow="0" w:firstColumn="1" w:lastColumn="0" w:noHBand="0" w:noVBand="1"/>
      </w:tblPr>
      <w:tblGrid>
        <w:gridCol w:w="3115"/>
        <w:gridCol w:w="1542"/>
        <w:gridCol w:w="1583"/>
        <w:gridCol w:w="1527"/>
        <w:gridCol w:w="1593"/>
      </w:tblGrid>
      <w:tr w:rsidR="00184B00" w:rsidRPr="00627DA0" w14:paraId="304744F2" w14:textId="77777777" w:rsidTr="003B4531">
        <w:trPr>
          <w:trHeight w:val="330"/>
        </w:trPr>
        <w:tc>
          <w:tcPr>
            <w:tcW w:w="2009" w:type="pct"/>
            <w:tcBorders>
              <w:top w:val="single" w:sz="12" w:space="0" w:color="auto"/>
              <w:left w:val="nil"/>
              <w:bottom w:val="single" w:sz="12" w:space="0" w:color="auto"/>
              <w:right w:val="nil"/>
            </w:tcBorders>
            <w:shd w:val="clear" w:color="000000" w:fill="002C7C"/>
            <w:noWrap/>
            <w:vAlign w:val="center"/>
            <w:hideMark/>
          </w:tcPr>
          <w:p w14:paraId="4C7F5A0F" w14:textId="77777777" w:rsidR="00184B00" w:rsidRPr="00627DA0" w:rsidRDefault="00184B00" w:rsidP="00184B00">
            <w:pPr>
              <w:spacing w:after="0" w:line="240" w:lineRule="auto"/>
              <w:jc w:val="left"/>
              <w:rPr>
                <w:rFonts w:eastAsia="Times New Roman" w:cs="Calibri Light"/>
                <w:b/>
                <w:bCs/>
                <w:color w:val="FFFFFF"/>
                <w:sz w:val="20"/>
                <w:szCs w:val="20"/>
              </w:rPr>
            </w:pPr>
            <w:r w:rsidRPr="00627DA0">
              <w:rPr>
                <w:rFonts w:eastAsia="Times New Roman" w:cs="Calibri Light"/>
                <w:b/>
                <w:bCs/>
                <w:color w:val="FFFFFF"/>
                <w:sz w:val="20"/>
                <w:szCs w:val="20"/>
              </w:rPr>
              <w:t>End Use</w:t>
            </w:r>
          </w:p>
        </w:tc>
        <w:tc>
          <w:tcPr>
            <w:tcW w:w="742" w:type="pct"/>
            <w:tcBorders>
              <w:top w:val="single" w:sz="12" w:space="0" w:color="auto"/>
              <w:left w:val="nil"/>
              <w:bottom w:val="single" w:sz="12" w:space="0" w:color="auto"/>
              <w:right w:val="nil"/>
            </w:tcBorders>
            <w:shd w:val="clear" w:color="000000" w:fill="002C7C"/>
            <w:noWrap/>
            <w:vAlign w:val="center"/>
            <w:hideMark/>
          </w:tcPr>
          <w:p w14:paraId="4CAECA3D" w14:textId="486145A8" w:rsidR="00184B00" w:rsidRPr="00627DA0" w:rsidRDefault="00184B00" w:rsidP="00184B00">
            <w:pPr>
              <w:spacing w:after="0" w:line="240" w:lineRule="auto"/>
              <w:jc w:val="right"/>
              <w:rPr>
                <w:rFonts w:eastAsia="Times New Roman" w:cs="Calibri Light"/>
                <w:b/>
                <w:bCs/>
                <w:color w:val="FFFFFF"/>
                <w:sz w:val="20"/>
                <w:szCs w:val="20"/>
              </w:rPr>
            </w:pPr>
            <w:r w:rsidRPr="00627DA0">
              <w:rPr>
                <w:rFonts w:cs="Calibri"/>
                <w:b/>
                <w:bCs/>
                <w:color w:val="FFFFFF"/>
                <w:sz w:val="20"/>
                <w:szCs w:val="20"/>
              </w:rPr>
              <w:t>2-Year</w:t>
            </w:r>
          </w:p>
        </w:tc>
        <w:tc>
          <w:tcPr>
            <w:tcW w:w="742" w:type="pct"/>
            <w:tcBorders>
              <w:top w:val="single" w:sz="12" w:space="0" w:color="auto"/>
              <w:left w:val="nil"/>
              <w:bottom w:val="single" w:sz="12" w:space="0" w:color="auto"/>
              <w:right w:val="nil"/>
            </w:tcBorders>
            <w:shd w:val="clear" w:color="000000" w:fill="002C7C"/>
            <w:noWrap/>
            <w:vAlign w:val="center"/>
            <w:hideMark/>
          </w:tcPr>
          <w:p w14:paraId="6891695D" w14:textId="3C2FB7D0" w:rsidR="00184B00" w:rsidRPr="00627DA0" w:rsidRDefault="00184B00" w:rsidP="00184B00">
            <w:pPr>
              <w:spacing w:after="0" w:line="240" w:lineRule="auto"/>
              <w:jc w:val="right"/>
              <w:rPr>
                <w:rFonts w:eastAsia="Times New Roman" w:cs="Calibri Light"/>
                <w:b/>
                <w:bCs/>
                <w:color w:val="FFFFFF"/>
                <w:sz w:val="20"/>
                <w:szCs w:val="20"/>
              </w:rPr>
            </w:pPr>
            <w:r w:rsidRPr="00627DA0">
              <w:rPr>
                <w:rFonts w:cs="Calibri"/>
                <w:b/>
                <w:bCs/>
                <w:color w:val="FFFFFF"/>
                <w:sz w:val="20"/>
                <w:szCs w:val="20"/>
              </w:rPr>
              <w:t>4-Year</w:t>
            </w:r>
          </w:p>
        </w:tc>
        <w:tc>
          <w:tcPr>
            <w:tcW w:w="731" w:type="pct"/>
            <w:tcBorders>
              <w:top w:val="single" w:sz="12" w:space="0" w:color="auto"/>
              <w:left w:val="nil"/>
              <w:bottom w:val="single" w:sz="12" w:space="0" w:color="auto"/>
              <w:right w:val="nil"/>
            </w:tcBorders>
            <w:shd w:val="clear" w:color="000000" w:fill="002C7C"/>
            <w:noWrap/>
            <w:vAlign w:val="center"/>
            <w:hideMark/>
          </w:tcPr>
          <w:p w14:paraId="2D840182" w14:textId="07F69AC2" w:rsidR="00184B00" w:rsidRPr="00627DA0" w:rsidRDefault="00184B00" w:rsidP="00184B00">
            <w:pPr>
              <w:spacing w:after="0" w:line="240" w:lineRule="auto"/>
              <w:jc w:val="right"/>
              <w:rPr>
                <w:rFonts w:eastAsia="Times New Roman" w:cs="Calibri Light"/>
                <w:b/>
                <w:bCs/>
                <w:color w:val="FFFFFF"/>
                <w:sz w:val="20"/>
                <w:szCs w:val="20"/>
              </w:rPr>
            </w:pPr>
            <w:r w:rsidRPr="00627DA0">
              <w:rPr>
                <w:rFonts w:cs="Calibri"/>
                <w:b/>
                <w:bCs/>
                <w:color w:val="FFFFFF"/>
                <w:sz w:val="20"/>
                <w:szCs w:val="20"/>
              </w:rPr>
              <w:t>10-Year</w:t>
            </w:r>
          </w:p>
        </w:tc>
        <w:tc>
          <w:tcPr>
            <w:tcW w:w="776" w:type="pct"/>
            <w:tcBorders>
              <w:top w:val="single" w:sz="12" w:space="0" w:color="auto"/>
              <w:left w:val="nil"/>
              <w:bottom w:val="single" w:sz="12" w:space="0" w:color="auto"/>
              <w:right w:val="nil"/>
            </w:tcBorders>
            <w:shd w:val="clear" w:color="000000" w:fill="002C7C"/>
            <w:noWrap/>
            <w:vAlign w:val="center"/>
            <w:hideMark/>
          </w:tcPr>
          <w:p w14:paraId="3C3AA135" w14:textId="61578F8C" w:rsidR="00184B00" w:rsidRPr="00627DA0" w:rsidRDefault="00184B00" w:rsidP="00184B00">
            <w:pPr>
              <w:spacing w:after="0" w:line="240" w:lineRule="auto"/>
              <w:jc w:val="right"/>
              <w:rPr>
                <w:rFonts w:eastAsia="Times New Roman" w:cs="Calibri Light"/>
                <w:b/>
                <w:bCs/>
                <w:color w:val="FFFFFF"/>
                <w:sz w:val="20"/>
                <w:szCs w:val="20"/>
              </w:rPr>
            </w:pPr>
            <w:r w:rsidRPr="00627DA0">
              <w:rPr>
                <w:rFonts w:cs="Calibri"/>
                <w:b/>
                <w:bCs/>
                <w:color w:val="FFFFFF"/>
                <w:sz w:val="20"/>
                <w:szCs w:val="20"/>
              </w:rPr>
              <w:t>20-Year</w:t>
            </w:r>
          </w:p>
        </w:tc>
      </w:tr>
      <w:tr w:rsidR="00275AFA" w:rsidRPr="00627DA0" w14:paraId="306FEC0D" w14:textId="77777777" w:rsidTr="003B4531">
        <w:trPr>
          <w:trHeight w:val="315"/>
        </w:trPr>
        <w:tc>
          <w:tcPr>
            <w:tcW w:w="2009" w:type="pct"/>
            <w:tcBorders>
              <w:top w:val="nil"/>
              <w:left w:val="nil"/>
              <w:bottom w:val="nil"/>
              <w:right w:val="nil"/>
            </w:tcBorders>
            <w:noWrap/>
            <w:vAlign w:val="bottom"/>
            <w:hideMark/>
          </w:tcPr>
          <w:p w14:paraId="392CD7D3"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Compressed Air</w:t>
            </w:r>
          </w:p>
        </w:tc>
        <w:tc>
          <w:tcPr>
            <w:tcW w:w="742" w:type="pct"/>
            <w:tcBorders>
              <w:top w:val="nil"/>
              <w:left w:val="nil"/>
              <w:bottom w:val="nil"/>
              <w:right w:val="nil"/>
            </w:tcBorders>
            <w:noWrap/>
            <w:vAlign w:val="bottom"/>
            <w:hideMark/>
          </w:tcPr>
          <w:p w14:paraId="08608050" w14:textId="0A358CF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 </w:t>
            </w:r>
          </w:p>
        </w:tc>
        <w:tc>
          <w:tcPr>
            <w:tcW w:w="742" w:type="pct"/>
            <w:tcBorders>
              <w:top w:val="nil"/>
              <w:left w:val="nil"/>
              <w:bottom w:val="nil"/>
              <w:right w:val="nil"/>
            </w:tcBorders>
            <w:noWrap/>
            <w:vAlign w:val="bottom"/>
            <w:hideMark/>
          </w:tcPr>
          <w:p w14:paraId="79273B8D" w14:textId="037AF6E1"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8 </w:t>
            </w:r>
          </w:p>
        </w:tc>
        <w:tc>
          <w:tcPr>
            <w:tcW w:w="731" w:type="pct"/>
            <w:tcBorders>
              <w:top w:val="nil"/>
              <w:left w:val="nil"/>
              <w:bottom w:val="nil"/>
              <w:right w:val="nil"/>
            </w:tcBorders>
            <w:noWrap/>
            <w:vAlign w:val="bottom"/>
            <w:hideMark/>
          </w:tcPr>
          <w:p w14:paraId="71247CCB" w14:textId="69CF6DB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95 </w:t>
            </w:r>
          </w:p>
        </w:tc>
        <w:tc>
          <w:tcPr>
            <w:tcW w:w="776" w:type="pct"/>
            <w:tcBorders>
              <w:top w:val="nil"/>
              <w:left w:val="nil"/>
              <w:bottom w:val="nil"/>
              <w:right w:val="nil"/>
            </w:tcBorders>
            <w:noWrap/>
            <w:vAlign w:val="bottom"/>
            <w:hideMark/>
          </w:tcPr>
          <w:p w14:paraId="1FD4593B" w14:textId="24B55A57"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454 </w:t>
            </w:r>
          </w:p>
        </w:tc>
      </w:tr>
      <w:tr w:rsidR="00275AFA" w:rsidRPr="00627DA0" w14:paraId="2FDBCF06" w14:textId="77777777" w:rsidTr="003B4531">
        <w:trPr>
          <w:trHeight w:val="300"/>
        </w:trPr>
        <w:tc>
          <w:tcPr>
            <w:tcW w:w="2009" w:type="pct"/>
            <w:tcBorders>
              <w:top w:val="nil"/>
              <w:left w:val="nil"/>
              <w:bottom w:val="nil"/>
              <w:right w:val="nil"/>
            </w:tcBorders>
            <w:shd w:val="clear" w:color="000000" w:fill="F2F2F2"/>
            <w:noWrap/>
            <w:vAlign w:val="bottom"/>
            <w:hideMark/>
          </w:tcPr>
          <w:p w14:paraId="50BF6A5D"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Electronics</w:t>
            </w:r>
          </w:p>
        </w:tc>
        <w:tc>
          <w:tcPr>
            <w:tcW w:w="742" w:type="pct"/>
            <w:tcBorders>
              <w:top w:val="nil"/>
              <w:left w:val="nil"/>
              <w:bottom w:val="nil"/>
              <w:right w:val="nil"/>
            </w:tcBorders>
            <w:shd w:val="clear" w:color="000000" w:fill="F2F2F2"/>
            <w:noWrap/>
            <w:vAlign w:val="bottom"/>
            <w:hideMark/>
          </w:tcPr>
          <w:p w14:paraId="5A60621A" w14:textId="23D6ED13"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52 </w:t>
            </w:r>
          </w:p>
        </w:tc>
        <w:tc>
          <w:tcPr>
            <w:tcW w:w="742" w:type="pct"/>
            <w:tcBorders>
              <w:top w:val="nil"/>
              <w:left w:val="nil"/>
              <w:bottom w:val="nil"/>
              <w:right w:val="nil"/>
            </w:tcBorders>
            <w:shd w:val="clear" w:color="000000" w:fill="F2F2F2"/>
            <w:noWrap/>
            <w:vAlign w:val="bottom"/>
            <w:hideMark/>
          </w:tcPr>
          <w:p w14:paraId="3EA06400" w14:textId="66589CD5"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212 </w:t>
            </w:r>
          </w:p>
        </w:tc>
        <w:tc>
          <w:tcPr>
            <w:tcW w:w="731" w:type="pct"/>
            <w:tcBorders>
              <w:top w:val="nil"/>
              <w:left w:val="nil"/>
              <w:bottom w:val="nil"/>
              <w:right w:val="nil"/>
            </w:tcBorders>
            <w:shd w:val="clear" w:color="000000" w:fill="F2F2F2"/>
            <w:noWrap/>
            <w:vAlign w:val="bottom"/>
            <w:hideMark/>
          </w:tcPr>
          <w:p w14:paraId="2A2924B3" w14:textId="4F6E484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1,932 </w:t>
            </w:r>
          </w:p>
        </w:tc>
        <w:tc>
          <w:tcPr>
            <w:tcW w:w="776" w:type="pct"/>
            <w:tcBorders>
              <w:top w:val="nil"/>
              <w:left w:val="nil"/>
              <w:bottom w:val="nil"/>
              <w:right w:val="nil"/>
            </w:tcBorders>
            <w:shd w:val="clear" w:color="000000" w:fill="F2F2F2"/>
            <w:noWrap/>
            <w:vAlign w:val="bottom"/>
            <w:hideMark/>
          </w:tcPr>
          <w:p w14:paraId="0771B28F" w14:textId="13BA6DC1"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2,719 </w:t>
            </w:r>
          </w:p>
        </w:tc>
      </w:tr>
      <w:tr w:rsidR="00275AFA" w:rsidRPr="00627DA0" w14:paraId="0D177D4F" w14:textId="77777777" w:rsidTr="003B4531">
        <w:trPr>
          <w:trHeight w:val="300"/>
        </w:trPr>
        <w:tc>
          <w:tcPr>
            <w:tcW w:w="2009" w:type="pct"/>
            <w:tcBorders>
              <w:top w:val="nil"/>
              <w:left w:val="nil"/>
              <w:bottom w:val="nil"/>
              <w:right w:val="nil"/>
            </w:tcBorders>
            <w:noWrap/>
            <w:vAlign w:val="bottom"/>
            <w:hideMark/>
          </w:tcPr>
          <w:p w14:paraId="1EA1E010"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Food Preparation</w:t>
            </w:r>
          </w:p>
        </w:tc>
        <w:tc>
          <w:tcPr>
            <w:tcW w:w="742" w:type="pct"/>
            <w:tcBorders>
              <w:top w:val="nil"/>
              <w:left w:val="nil"/>
              <w:bottom w:val="nil"/>
              <w:right w:val="nil"/>
            </w:tcBorders>
            <w:noWrap/>
            <w:vAlign w:val="bottom"/>
            <w:hideMark/>
          </w:tcPr>
          <w:p w14:paraId="431D9935" w14:textId="19758D60"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19 </w:t>
            </w:r>
          </w:p>
        </w:tc>
        <w:tc>
          <w:tcPr>
            <w:tcW w:w="742" w:type="pct"/>
            <w:tcBorders>
              <w:top w:val="nil"/>
              <w:left w:val="nil"/>
              <w:bottom w:val="nil"/>
              <w:right w:val="nil"/>
            </w:tcBorders>
            <w:noWrap/>
            <w:vAlign w:val="bottom"/>
            <w:hideMark/>
          </w:tcPr>
          <w:p w14:paraId="618B6676" w14:textId="749F6A16"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49 </w:t>
            </w:r>
          </w:p>
        </w:tc>
        <w:tc>
          <w:tcPr>
            <w:tcW w:w="731" w:type="pct"/>
            <w:tcBorders>
              <w:top w:val="nil"/>
              <w:left w:val="nil"/>
              <w:bottom w:val="nil"/>
              <w:right w:val="nil"/>
            </w:tcBorders>
            <w:noWrap/>
            <w:vAlign w:val="bottom"/>
            <w:hideMark/>
          </w:tcPr>
          <w:p w14:paraId="3BE69F66" w14:textId="31B47CEF"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188 </w:t>
            </w:r>
          </w:p>
        </w:tc>
        <w:tc>
          <w:tcPr>
            <w:tcW w:w="776" w:type="pct"/>
            <w:tcBorders>
              <w:top w:val="nil"/>
              <w:left w:val="nil"/>
              <w:bottom w:val="nil"/>
              <w:right w:val="nil"/>
            </w:tcBorders>
            <w:noWrap/>
            <w:vAlign w:val="bottom"/>
            <w:hideMark/>
          </w:tcPr>
          <w:p w14:paraId="197DE06D" w14:textId="7B3DF85F"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381 </w:t>
            </w:r>
          </w:p>
        </w:tc>
      </w:tr>
      <w:tr w:rsidR="00275AFA" w:rsidRPr="00627DA0" w14:paraId="5FCA3896" w14:textId="77777777" w:rsidTr="003B4531">
        <w:trPr>
          <w:trHeight w:val="300"/>
        </w:trPr>
        <w:tc>
          <w:tcPr>
            <w:tcW w:w="2009" w:type="pct"/>
            <w:tcBorders>
              <w:top w:val="nil"/>
              <w:left w:val="nil"/>
              <w:bottom w:val="nil"/>
              <w:right w:val="nil"/>
            </w:tcBorders>
            <w:shd w:val="clear" w:color="000000" w:fill="F2F2F2"/>
            <w:noWrap/>
            <w:vAlign w:val="bottom"/>
            <w:hideMark/>
          </w:tcPr>
          <w:p w14:paraId="592EECA8"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HVAC</w:t>
            </w:r>
          </w:p>
        </w:tc>
        <w:tc>
          <w:tcPr>
            <w:tcW w:w="742" w:type="pct"/>
            <w:tcBorders>
              <w:top w:val="nil"/>
              <w:left w:val="nil"/>
              <w:bottom w:val="nil"/>
              <w:right w:val="nil"/>
            </w:tcBorders>
            <w:shd w:val="clear" w:color="000000" w:fill="F2F2F2"/>
            <w:noWrap/>
            <w:vAlign w:val="bottom"/>
            <w:hideMark/>
          </w:tcPr>
          <w:p w14:paraId="7839C245" w14:textId="0A9DC344"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54 </w:t>
            </w:r>
          </w:p>
        </w:tc>
        <w:tc>
          <w:tcPr>
            <w:tcW w:w="742" w:type="pct"/>
            <w:tcBorders>
              <w:top w:val="nil"/>
              <w:left w:val="nil"/>
              <w:bottom w:val="nil"/>
              <w:right w:val="nil"/>
            </w:tcBorders>
            <w:shd w:val="clear" w:color="000000" w:fill="F2F2F2"/>
            <w:noWrap/>
            <w:vAlign w:val="bottom"/>
            <w:hideMark/>
          </w:tcPr>
          <w:p w14:paraId="5ADEB7B8" w14:textId="243CC372"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227 </w:t>
            </w:r>
          </w:p>
        </w:tc>
        <w:tc>
          <w:tcPr>
            <w:tcW w:w="731" w:type="pct"/>
            <w:tcBorders>
              <w:top w:val="nil"/>
              <w:left w:val="nil"/>
              <w:bottom w:val="nil"/>
              <w:right w:val="nil"/>
            </w:tcBorders>
            <w:shd w:val="clear" w:color="000000" w:fill="F2F2F2"/>
            <w:noWrap/>
            <w:vAlign w:val="bottom"/>
            <w:hideMark/>
          </w:tcPr>
          <w:p w14:paraId="2D3AE1FD" w14:textId="2F87868B"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2,762 </w:t>
            </w:r>
          </w:p>
        </w:tc>
        <w:tc>
          <w:tcPr>
            <w:tcW w:w="776" w:type="pct"/>
            <w:tcBorders>
              <w:top w:val="nil"/>
              <w:left w:val="nil"/>
              <w:bottom w:val="nil"/>
              <w:right w:val="nil"/>
            </w:tcBorders>
            <w:shd w:val="clear" w:color="000000" w:fill="F2F2F2"/>
            <w:noWrap/>
            <w:vAlign w:val="bottom"/>
            <w:hideMark/>
          </w:tcPr>
          <w:p w14:paraId="46FC8013" w14:textId="4B38F230"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13,439 </w:t>
            </w:r>
          </w:p>
        </w:tc>
      </w:tr>
      <w:tr w:rsidR="00275AFA" w:rsidRPr="00627DA0" w14:paraId="0667A2F2" w14:textId="77777777" w:rsidTr="003B4531">
        <w:trPr>
          <w:trHeight w:val="300"/>
        </w:trPr>
        <w:tc>
          <w:tcPr>
            <w:tcW w:w="2009" w:type="pct"/>
            <w:tcBorders>
              <w:top w:val="nil"/>
              <w:left w:val="nil"/>
              <w:bottom w:val="nil"/>
              <w:right w:val="nil"/>
            </w:tcBorders>
            <w:noWrap/>
            <w:vAlign w:val="bottom"/>
            <w:hideMark/>
          </w:tcPr>
          <w:p w14:paraId="6BE9AA9B"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Lighting</w:t>
            </w:r>
          </w:p>
        </w:tc>
        <w:tc>
          <w:tcPr>
            <w:tcW w:w="742" w:type="pct"/>
            <w:tcBorders>
              <w:top w:val="nil"/>
              <w:left w:val="nil"/>
              <w:bottom w:val="nil"/>
              <w:right w:val="nil"/>
            </w:tcBorders>
            <w:noWrap/>
            <w:vAlign w:val="bottom"/>
            <w:hideMark/>
          </w:tcPr>
          <w:p w14:paraId="7E42ED86" w14:textId="12E8BBE6"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492 </w:t>
            </w:r>
          </w:p>
        </w:tc>
        <w:tc>
          <w:tcPr>
            <w:tcW w:w="742" w:type="pct"/>
            <w:tcBorders>
              <w:top w:val="nil"/>
              <w:left w:val="nil"/>
              <w:bottom w:val="nil"/>
              <w:right w:val="nil"/>
            </w:tcBorders>
            <w:noWrap/>
            <w:vAlign w:val="bottom"/>
            <w:hideMark/>
          </w:tcPr>
          <w:p w14:paraId="689F1933" w14:textId="2E3C5579"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1,406 </w:t>
            </w:r>
          </w:p>
        </w:tc>
        <w:tc>
          <w:tcPr>
            <w:tcW w:w="731" w:type="pct"/>
            <w:tcBorders>
              <w:top w:val="nil"/>
              <w:left w:val="nil"/>
              <w:bottom w:val="nil"/>
              <w:right w:val="nil"/>
            </w:tcBorders>
            <w:noWrap/>
            <w:vAlign w:val="bottom"/>
            <w:hideMark/>
          </w:tcPr>
          <w:p w14:paraId="3A96AC8B" w14:textId="4EDD31AA"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6,572 </w:t>
            </w:r>
          </w:p>
        </w:tc>
        <w:tc>
          <w:tcPr>
            <w:tcW w:w="776" w:type="pct"/>
            <w:tcBorders>
              <w:top w:val="nil"/>
              <w:left w:val="nil"/>
              <w:bottom w:val="nil"/>
              <w:right w:val="nil"/>
            </w:tcBorders>
            <w:noWrap/>
            <w:vAlign w:val="bottom"/>
            <w:hideMark/>
          </w:tcPr>
          <w:p w14:paraId="4166235E" w14:textId="70FDD675"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20,306 </w:t>
            </w:r>
          </w:p>
        </w:tc>
      </w:tr>
      <w:tr w:rsidR="00275AFA" w:rsidRPr="00627DA0" w14:paraId="6AB05E9C" w14:textId="77777777" w:rsidTr="003B4531">
        <w:trPr>
          <w:trHeight w:val="300"/>
        </w:trPr>
        <w:tc>
          <w:tcPr>
            <w:tcW w:w="2009" w:type="pct"/>
            <w:tcBorders>
              <w:top w:val="nil"/>
              <w:left w:val="nil"/>
              <w:bottom w:val="nil"/>
              <w:right w:val="nil"/>
            </w:tcBorders>
            <w:shd w:val="clear" w:color="000000" w:fill="F2F2F2"/>
            <w:noWrap/>
            <w:vAlign w:val="bottom"/>
            <w:hideMark/>
          </w:tcPr>
          <w:p w14:paraId="50E2D091"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Motors/Drives</w:t>
            </w:r>
          </w:p>
        </w:tc>
        <w:tc>
          <w:tcPr>
            <w:tcW w:w="742" w:type="pct"/>
            <w:tcBorders>
              <w:top w:val="nil"/>
              <w:left w:val="nil"/>
              <w:bottom w:val="nil"/>
              <w:right w:val="nil"/>
            </w:tcBorders>
            <w:shd w:val="clear" w:color="000000" w:fill="F2F2F2"/>
            <w:noWrap/>
            <w:vAlign w:val="bottom"/>
            <w:hideMark/>
          </w:tcPr>
          <w:p w14:paraId="28681C6D" w14:textId="43E8B474"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41 </w:t>
            </w:r>
          </w:p>
        </w:tc>
        <w:tc>
          <w:tcPr>
            <w:tcW w:w="742" w:type="pct"/>
            <w:tcBorders>
              <w:top w:val="nil"/>
              <w:left w:val="nil"/>
              <w:bottom w:val="nil"/>
              <w:right w:val="nil"/>
            </w:tcBorders>
            <w:shd w:val="clear" w:color="000000" w:fill="F2F2F2"/>
            <w:noWrap/>
            <w:vAlign w:val="bottom"/>
            <w:hideMark/>
          </w:tcPr>
          <w:p w14:paraId="3D173B98" w14:textId="5A13AE2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141 </w:t>
            </w:r>
          </w:p>
        </w:tc>
        <w:tc>
          <w:tcPr>
            <w:tcW w:w="731" w:type="pct"/>
            <w:tcBorders>
              <w:top w:val="nil"/>
              <w:left w:val="nil"/>
              <w:bottom w:val="nil"/>
              <w:right w:val="nil"/>
            </w:tcBorders>
            <w:shd w:val="clear" w:color="000000" w:fill="F2F2F2"/>
            <w:noWrap/>
            <w:vAlign w:val="bottom"/>
            <w:hideMark/>
          </w:tcPr>
          <w:p w14:paraId="3F560053" w14:textId="6F9FD718"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1,177 </w:t>
            </w:r>
          </w:p>
        </w:tc>
        <w:tc>
          <w:tcPr>
            <w:tcW w:w="776" w:type="pct"/>
            <w:tcBorders>
              <w:top w:val="nil"/>
              <w:left w:val="nil"/>
              <w:bottom w:val="nil"/>
              <w:right w:val="nil"/>
            </w:tcBorders>
            <w:shd w:val="clear" w:color="000000" w:fill="F2F2F2"/>
            <w:noWrap/>
            <w:vAlign w:val="bottom"/>
            <w:hideMark/>
          </w:tcPr>
          <w:p w14:paraId="61573C47" w14:textId="747E27D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3,751 </w:t>
            </w:r>
          </w:p>
        </w:tc>
      </w:tr>
      <w:tr w:rsidR="00275AFA" w:rsidRPr="00627DA0" w14:paraId="4ABA0450" w14:textId="77777777" w:rsidTr="003B4531">
        <w:trPr>
          <w:trHeight w:val="300"/>
        </w:trPr>
        <w:tc>
          <w:tcPr>
            <w:tcW w:w="2009" w:type="pct"/>
            <w:tcBorders>
              <w:top w:val="nil"/>
              <w:left w:val="nil"/>
              <w:bottom w:val="nil"/>
              <w:right w:val="nil"/>
            </w:tcBorders>
            <w:noWrap/>
            <w:vAlign w:val="bottom"/>
            <w:hideMark/>
          </w:tcPr>
          <w:p w14:paraId="0B2A7951"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Process Loads</w:t>
            </w:r>
          </w:p>
        </w:tc>
        <w:tc>
          <w:tcPr>
            <w:tcW w:w="742" w:type="pct"/>
            <w:tcBorders>
              <w:top w:val="nil"/>
              <w:left w:val="nil"/>
              <w:bottom w:val="nil"/>
              <w:right w:val="nil"/>
            </w:tcBorders>
            <w:noWrap/>
            <w:vAlign w:val="bottom"/>
            <w:hideMark/>
          </w:tcPr>
          <w:p w14:paraId="777CC874" w14:textId="033DD3FD"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42" w:type="pct"/>
            <w:tcBorders>
              <w:top w:val="nil"/>
              <w:left w:val="nil"/>
              <w:bottom w:val="nil"/>
              <w:right w:val="nil"/>
            </w:tcBorders>
            <w:noWrap/>
            <w:vAlign w:val="bottom"/>
            <w:hideMark/>
          </w:tcPr>
          <w:p w14:paraId="0922F48B" w14:textId="1F5A61E8"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31" w:type="pct"/>
            <w:tcBorders>
              <w:top w:val="nil"/>
              <w:left w:val="nil"/>
              <w:bottom w:val="nil"/>
              <w:right w:val="nil"/>
            </w:tcBorders>
            <w:noWrap/>
            <w:vAlign w:val="bottom"/>
            <w:hideMark/>
          </w:tcPr>
          <w:p w14:paraId="1D0C2947" w14:textId="3EDBBA2E"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c>
          <w:tcPr>
            <w:tcW w:w="776" w:type="pct"/>
            <w:tcBorders>
              <w:top w:val="nil"/>
              <w:left w:val="nil"/>
              <w:bottom w:val="nil"/>
              <w:right w:val="nil"/>
            </w:tcBorders>
            <w:noWrap/>
            <w:vAlign w:val="bottom"/>
            <w:hideMark/>
          </w:tcPr>
          <w:p w14:paraId="769845C8" w14:textId="3A92294A"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   </w:t>
            </w:r>
          </w:p>
        </w:tc>
      </w:tr>
      <w:tr w:rsidR="00275AFA" w:rsidRPr="00627DA0" w14:paraId="43B37635" w14:textId="77777777" w:rsidTr="003B4531">
        <w:trPr>
          <w:trHeight w:val="300"/>
        </w:trPr>
        <w:tc>
          <w:tcPr>
            <w:tcW w:w="2009" w:type="pct"/>
            <w:tcBorders>
              <w:top w:val="nil"/>
              <w:left w:val="nil"/>
              <w:bottom w:val="nil"/>
              <w:right w:val="nil"/>
            </w:tcBorders>
            <w:shd w:val="clear" w:color="000000" w:fill="F2F2F2"/>
            <w:noWrap/>
            <w:vAlign w:val="bottom"/>
            <w:hideMark/>
          </w:tcPr>
          <w:p w14:paraId="5D44583D"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Refrigeration</w:t>
            </w:r>
          </w:p>
        </w:tc>
        <w:tc>
          <w:tcPr>
            <w:tcW w:w="742" w:type="pct"/>
            <w:tcBorders>
              <w:top w:val="nil"/>
              <w:left w:val="nil"/>
              <w:bottom w:val="nil"/>
              <w:right w:val="nil"/>
            </w:tcBorders>
            <w:shd w:val="clear" w:color="000000" w:fill="F2F2F2"/>
            <w:noWrap/>
            <w:vAlign w:val="bottom"/>
            <w:hideMark/>
          </w:tcPr>
          <w:p w14:paraId="21F9FA92" w14:textId="7AE3FE80"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54 </w:t>
            </w:r>
          </w:p>
        </w:tc>
        <w:tc>
          <w:tcPr>
            <w:tcW w:w="742" w:type="pct"/>
            <w:tcBorders>
              <w:top w:val="nil"/>
              <w:left w:val="nil"/>
              <w:bottom w:val="nil"/>
              <w:right w:val="nil"/>
            </w:tcBorders>
            <w:shd w:val="clear" w:color="000000" w:fill="F2F2F2"/>
            <w:noWrap/>
            <w:vAlign w:val="bottom"/>
            <w:hideMark/>
          </w:tcPr>
          <w:p w14:paraId="0E0E87C9" w14:textId="0B15D318"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223 </w:t>
            </w:r>
          </w:p>
        </w:tc>
        <w:tc>
          <w:tcPr>
            <w:tcW w:w="731" w:type="pct"/>
            <w:tcBorders>
              <w:top w:val="nil"/>
              <w:left w:val="nil"/>
              <w:bottom w:val="nil"/>
              <w:right w:val="nil"/>
            </w:tcBorders>
            <w:shd w:val="clear" w:color="000000" w:fill="F2F2F2"/>
            <w:noWrap/>
            <w:vAlign w:val="bottom"/>
            <w:hideMark/>
          </w:tcPr>
          <w:p w14:paraId="5E7BEE34" w14:textId="196274A4"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2,739 </w:t>
            </w:r>
          </w:p>
        </w:tc>
        <w:tc>
          <w:tcPr>
            <w:tcW w:w="776" w:type="pct"/>
            <w:tcBorders>
              <w:top w:val="nil"/>
              <w:left w:val="nil"/>
              <w:bottom w:val="nil"/>
              <w:right w:val="nil"/>
            </w:tcBorders>
            <w:shd w:val="clear" w:color="000000" w:fill="F2F2F2"/>
            <w:noWrap/>
            <w:vAlign w:val="bottom"/>
            <w:hideMark/>
          </w:tcPr>
          <w:p w14:paraId="536E25F8" w14:textId="2B035F06"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10,828 </w:t>
            </w:r>
          </w:p>
        </w:tc>
      </w:tr>
      <w:tr w:rsidR="00275AFA" w:rsidRPr="00627DA0" w14:paraId="77E76635" w14:textId="77777777" w:rsidTr="003B4531">
        <w:trPr>
          <w:trHeight w:val="315"/>
        </w:trPr>
        <w:tc>
          <w:tcPr>
            <w:tcW w:w="2009" w:type="pct"/>
            <w:tcBorders>
              <w:top w:val="nil"/>
              <w:left w:val="nil"/>
              <w:bottom w:val="nil"/>
              <w:right w:val="nil"/>
            </w:tcBorders>
            <w:noWrap/>
            <w:vAlign w:val="bottom"/>
            <w:hideMark/>
          </w:tcPr>
          <w:p w14:paraId="56CAA44C" w14:textId="77777777" w:rsidR="00275AFA" w:rsidRPr="00627DA0" w:rsidRDefault="00275AFA" w:rsidP="00275AFA">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Water Heat</w:t>
            </w:r>
          </w:p>
        </w:tc>
        <w:tc>
          <w:tcPr>
            <w:tcW w:w="742" w:type="pct"/>
            <w:tcBorders>
              <w:top w:val="nil"/>
              <w:left w:val="nil"/>
              <w:bottom w:val="nil"/>
              <w:right w:val="nil"/>
            </w:tcBorders>
            <w:noWrap/>
            <w:vAlign w:val="bottom"/>
            <w:hideMark/>
          </w:tcPr>
          <w:p w14:paraId="370DD7AB" w14:textId="1DC22394"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4 </w:t>
            </w:r>
          </w:p>
        </w:tc>
        <w:tc>
          <w:tcPr>
            <w:tcW w:w="742" w:type="pct"/>
            <w:tcBorders>
              <w:top w:val="nil"/>
              <w:left w:val="nil"/>
              <w:bottom w:val="nil"/>
              <w:right w:val="nil"/>
            </w:tcBorders>
            <w:noWrap/>
            <w:vAlign w:val="bottom"/>
            <w:hideMark/>
          </w:tcPr>
          <w:p w14:paraId="29178FB8" w14:textId="71E25A66"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17 </w:t>
            </w:r>
          </w:p>
        </w:tc>
        <w:tc>
          <w:tcPr>
            <w:tcW w:w="731" w:type="pct"/>
            <w:tcBorders>
              <w:top w:val="nil"/>
              <w:left w:val="nil"/>
              <w:bottom w:val="nil"/>
              <w:right w:val="nil"/>
            </w:tcBorders>
            <w:noWrap/>
            <w:vAlign w:val="bottom"/>
            <w:hideMark/>
          </w:tcPr>
          <w:p w14:paraId="07F13C18" w14:textId="55329B27"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202 </w:t>
            </w:r>
          </w:p>
        </w:tc>
        <w:tc>
          <w:tcPr>
            <w:tcW w:w="776" w:type="pct"/>
            <w:tcBorders>
              <w:top w:val="nil"/>
              <w:left w:val="nil"/>
              <w:bottom w:val="nil"/>
              <w:right w:val="nil"/>
            </w:tcBorders>
            <w:noWrap/>
            <w:vAlign w:val="bottom"/>
            <w:hideMark/>
          </w:tcPr>
          <w:p w14:paraId="4C9B2BAD" w14:textId="1EB34CC9" w:rsidR="00275AFA" w:rsidRPr="00627DA0" w:rsidRDefault="00275AFA" w:rsidP="00275AFA">
            <w:pPr>
              <w:spacing w:after="0" w:line="240" w:lineRule="auto"/>
              <w:jc w:val="right"/>
              <w:rPr>
                <w:rFonts w:eastAsia="Times New Roman" w:cs="Calibri Light"/>
                <w:color w:val="000000"/>
                <w:sz w:val="20"/>
                <w:szCs w:val="20"/>
              </w:rPr>
            </w:pPr>
            <w:r w:rsidRPr="00627DA0">
              <w:rPr>
                <w:rFonts w:cs="Calibri"/>
                <w:color w:val="000000"/>
                <w:sz w:val="20"/>
                <w:szCs w:val="20"/>
              </w:rPr>
              <w:t xml:space="preserve">                     1,083 </w:t>
            </w:r>
          </w:p>
        </w:tc>
      </w:tr>
      <w:tr w:rsidR="00275AFA" w:rsidRPr="00627DA0" w14:paraId="1B1E0B52" w14:textId="77777777" w:rsidTr="003B4531">
        <w:trPr>
          <w:trHeight w:val="315"/>
        </w:trPr>
        <w:tc>
          <w:tcPr>
            <w:tcW w:w="2009" w:type="pct"/>
            <w:tcBorders>
              <w:top w:val="single" w:sz="8" w:space="0" w:color="auto"/>
              <w:left w:val="nil"/>
              <w:bottom w:val="single" w:sz="12" w:space="0" w:color="auto"/>
              <w:right w:val="nil"/>
            </w:tcBorders>
            <w:shd w:val="clear" w:color="000000" w:fill="F2F2F2"/>
            <w:noWrap/>
            <w:vAlign w:val="center"/>
            <w:hideMark/>
          </w:tcPr>
          <w:p w14:paraId="034901B5" w14:textId="77777777" w:rsidR="00275AFA" w:rsidRPr="00627DA0" w:rsidRDefault="00275AFA" w:rsidP="00275AFA">
            <w:pPr>
              <w:spacing w:after="0" w:line="240" w:lineRule="auto"/>
              <w:jc w:val="left"/>
              <w:rPr>
                <w:rFonts w:eastAsia="Times New Roman" w:cs="Calibri Light"/>
                <w:b/>
                <w:bCs/>
                <w:color w:val="000000"/>
                <w:sz w:val="20"/>
                <w:szCs w:val="20"/>
              </w:rPr>
            </w:pPr>
            <w:r w:rsidRPr="00627DA0">
              <w:rPr>
                <w:rFonts w:eastAsia="Times New Roman" w:cs="Calibri Light"/>
                <w:b/>
                <w:bCs/>
                <w:color w:val="000000"/>
                <w:sz w:val="20"/>
                <w:szCs w:val="20"/>
              </w:rPr>
              <w:t>Total</w:t>
            </w:r>
          </w:p>
        </w:tc>
        <w:tc>
          <w:tcPr>
            <w:tcW w:w="742" w:type="pct"/>
            <w:tcBorders>
              <w:top w:val="single" w:sz="8" w:space="0" w:color="auto"/>
              <w:left w:val="nil"/>
              <w:bottom w:val="single" w:sz="12" w:space="0" w:color="auto"/>
              <w:right w:val="nil"/>
            </w:tcBorders>
            <w:shd w:val="clear" w:color="000000" w:fill="F2F2F2"/>
            <w:noWrap/>
            <w:vAlign w:val="center"/>
            <w:hideMark/>
          </w:tcPr>
          <w:p w14:paraId="22D3395F" w14:textId="079F378E" w:rsidR="00275AFA" w:rsidRPr="00627DA0" w:rsidRDefault="00275AFA" w:rsidP="00275AFA">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719 </w:t>
            </w:r>
          </w:p>
        </w:tc>
        <w:tc>
          <w:tcPr>
            <w:tcW w:w="742" w:type="pct"/>
            <w:tcBorders>
              <w:top w:val="single" w:sz="8" w:space="0" w:color="auto"/>
              <w:left w:val="nil"/>
              <w:bottom w:val="single" w:sz="12" w:space="0" w:color="auto"/>
              <w:right w:val="nil"/>
            </w:tcBorders>
            <w:shd w:val="clear" w:color="000000" w:fill="F2F2F2"/>
            <w:noWrap/>
            <w:vAlign w:val="center"/>
            <w:hideMark/>
          </w:tcPr>
          <w:p w14:paraId="1C4CC955" w14:textId="13C4E449" w:rsidR="00275AFA" w:rsidRPr="00627DA0" w:rsidRDefault="00275AFA" w:rsidP="00275AFA">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2,285 </w:t>
            </w:r>
          </w:p>
        </w:tc>
        <w:tc>
          <w:tcPr>
            <w:tcW w:w="731" w:type="pct"/>
            <w:tcBorders>
              <w:top w:val="single" w:sz="8" w:space="0" w:color="auto"/>
              <w:left w:val="nil"/>
              <w:bottom w:val="single" w:sz="12" w:space="0" w:color="auto"/>
              <w:right w:val="nil"/>
            </w:tcBorders>
            <w:shd w:val="clear" w:color="000000" w:fill="F2F2F2"/>
            <w:noWrap/>
            <w:vAlign w:val="center"/>
            <w:hideMark/>
          </w:tcPr>
          <w:p w14:paraId="48D487DD" w14:textId="76EE4BE1" w:rsidR="00275AFA" w:rsidRPr="00627DA0" w:rsidRDefault="00275AFA" w:rsidP="00275AFA">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15,667 </w:t>
            </w:r>
          </w:p>
        </w:tc>
        <w:tc>
          <w:tcPr>
            <w:tcW w:w="776" w:type="pct"/>
            <w:tcBorders>
              <w:top w:val="single" w:sz="8" w:space="0" w:color="auto"/>
              <w:left w:val="nil"/>
              <w:bottom w:val="single" w:sz="12" w:space="0" w:color="auto"/>
              <w:right w:val="nil"/>
            </w:tcBorders>
            <w:shd w:val="clear" w:color="000000" w:fill="F2F2F2"/>
            <w:noWrap/>
            <w:vAlign w:val="center"/>
            <w:hideMark/>
          </w:tcPr>
          <w:p w14:paraId="1C6CF5CA" w14:textId="2EDF40E2" w:rsidR="00275AFA" w:rsidRPr="00627DA0" w:rsidRDefault="00275AFA" w:rsidP="00275AFA">
            <w:pPr>
              <w:spacing w:after="0" w:line="240" w:lineRule="auto"/>
              <w:jc w:val="right"/>
              <w:rPr>
                <w:rFonts w:eastAsia="Times New Roman" w:cs="Calibri Light"/>
                <w:b/>
                <w:bCs/>
                <w:color w:val="000000"/>
                <w:sz w:val="20"/>
                <w:szCs w:val="20"/>
              </w:rPr>
            </w:pPr>
            <w:r w:rsidRPr="00627DA0">
              <w:rPr>
                <w:rFonts w:cs="Calibri"/>
                <w:b/>
                <w:bCs/>
                <w:color w:val="000000"/>
                <w:sz w:val="20"/>
                <w:szCs w:val="20"/>
              </w:rPr>
              <w:t xml:space="preserve">                  52,961 </w:t>
            </w:r>
          </w:p>
        </w:tc>
      </w:tr>
    </w:tbl>
    <w:p w14:paraId="4FD31765" w14:textId="6099C778" w:rsidR="00BC23E0" w:rsidRPr="00627DA0" w:rsidRDefault="00BC23E0" w:rsidP="00BC23E0"/>
    <w:p w14:paraId="06861F9D" w14:textId="6277756B" w:rsidR="00373617" w:rsidRPr="00627DA0" w:rsidRDefault="00373617">
      <w:r w:rsidRPr="00627DA0">
        <w:br w:type="page"/>
      </w:r>
    </w:p>
    <w:p w14:paraId="60EF5595" w14:textId="762210B1" w:rsidR="006E3201" w:rsidRPr="00627DA0" w:rsidRDefault="007B630C" w:rsidP="006E3201">
      <w:pPr>
        <w:pStyle w:val="Caption"/>
      </w:pPr>
      <w:bookmarkStart w:id="176" w:name="_Toc207870750"/>
      <w:r w:rsidRPr="00627DA0">
        <w:lastRenderedPageBreak/>
        <w:t xml:space="preserve">Table </w:t>
      </w:r>
      <w:fldSimple w:instr=" SEQ Table \* ARABIC ">
        <w:r w:rsidR="00431297" w:rsidRPr="00627DA0">
          <w:t>21</w:t>
        </w:r>
      </w:fldSimple>
      <w:r w:rsidRPr="00627DA0">
        <w:t>:</w:t>
      </w:r>
      <w:r w:rsidR="00625D25" w:rsidRPr="00627DA0">
        <w:t xml:space="preserve"> Cost-Effective</w:t>
      </w:r>
      <w:r w:rsidRPr="00627DA0">
        <w:t xml:space="preserve"> Industrial Potential by End Use (MW</w:t>
      </w:r>
      <w:r w:rsidR="006A322B" w:rsidRPr="00627DA0">
        <w:t>h</w:t>
      </w:r>
      <w:r w:rsidRPr="00627DA0">
        <w:t>)</w:t>
      </w:r>
      <w:bookmarkEnd w:id="176"/>
    </w:p>
    <w:tbl>
      <w:tblPr>
        <w:tblW w:w="8520" w:type="dxa"/>
        <w:jc w:val="center"/>
        <w:tblLook w:val="04A0" w:firstRow="1" w:lastRow="0" w:firstColumn="1" w:lastColumn="0" w:noHBand="0" w:noVBand="1"/>
      </w:tblPr>
      <w:tblGrid>
        <w:gridCol w:w="3536"/>
        <w:gridCol w:w="1176"/>
        <w:gridCol w:w="1296"/>
        <w:gridCol w:w="1256"/>
        <w:gridCol w:w="1256"/>
      </w:tblGrid>
      <w:tr w:rsidR="00C558E1" w:rsidRPr="00627DA0" w14:paraId="43426508" w14:textId="77777777" w:rsidTr="00373617">
        <w:trPr>
          <w:trHeight w:val="330"/>
          <w:jc w:val="center"/>
        </w:trPr>
        <w:tc>
          <w:tcPr>
            <w:tcW w:w="3536" w:type="dxa"/>
            <w:tcBorders>
              <w:top w:val="single" w:sz="12" w:space="0" w:color="auto"/>
              <w:left w:val="nil"/>
              <w:bottom w:val="single" w:sz="12" w:space="0" w:color="auto"/>
              <w:right w:val="nil"/>
            </w:tcBorders>
            <w:shd w:val="clear" w:color="000000" w:fill="002C7C"/>
            <w:noWrap/>
            <w:vAlign w:val="center"/>
            <w:hideMark/>
          </w:tcPr>
          <w:p w14:paraId="50CA8EFE" w14:textId="77777777" w:rsidR="00C558E1" w:rsidRPr="00627DA0" w:rsidRDefault="00C558E1" w:rsidP="00C558E1">
            <w:pPr>
              <w:spacing w:after="0" w:line="240" w:lineRule="auto"/>
              <w:jc w:val="left"/>
              <w:rPr>
                <w:rFonts w:eastAsia="Times New Roman" w:cs="Calibri Light"/>
                <w:b/>
                <w:bCs/>
                <w:color w:val="FFFFFF"/>
                <w:sz w:val="20"/>
                <w:szCs w:val="20"/>
              </w:rPr>
            </w:pPr>
            <w:r w:rsidRPr="00627DA0">
              <w:rPr>
                <w:rFonts w:eastAsia="Times New Roman" w:cs="Calibri Light"/>
                <w:b/>
                <w:bCs/>
                <w:color w:val="FFFFFF"/>
                <w:sz w:val="20"/>
                <w:szCs w:val="20"/>
              </w:rPr>
              <w:t>End Use</w:t>
            </w:r>
          </w:p>
        </w:tc>
        <w:tc>
          <w:tcPr>
            <w:tcW w:w="1176" w:type="dxa"/>
            <w:tcBorders>
              <w:top w:val="single" w:sz="12" w:space="0" w:color="auto"/>
              <w:left w:val="nil"/>
              <w:bottom w:val="single" w:sz="12" w:space="0" w:color="auto"/>
              <w:right w:val="nil"/>
            </w:tcBorders>
            <w:shd w:val="clear" w:color="000000" w:fill="002C7C"/>
            <w:noWrap/>
            <w:vAlign w:val="center"/>
            <w:hideMark/>
          </w:tcPr>
          <w:p w14:paraId="05DC7FAB" w14:textId="0F424FE8" w:rsidR="00C558E1" w:rsidRPr="00627DA0" w:rsidRDefault="00C558E1" w:rsidP="00C558E1">
            <w:pPr>
              <w:spacing w:after="0" w:line="240" w:lineRule="auto"/>
              <w:jc w:val="right"/>
              <w:rPr>
                <w:rFonts w:eastAsia="Times New Roman" w:cs="Calibri Light"/>
                <w:b/>
                <w:bCs/>
                <w:color w:val="FFFFFF"/>
                <w:sz w:val="20"/>
                <w:szCs w:val="20"/>
              </w:rPr>
            </w:pPr>
            <w:r w:rsidRPr="00627DA0">
              <w:rPr>
                <w:rFonts w:cs="Calibri"/>
                <w:b/>
                <w:bCs/>
                <w:color w:val="FFFFFF"/>
                <w:sz w:val="20"/>
                <w:szCs w:val="20"/>
              </w:rPr>
              <w:t>2-Year</w:t>
            </w:r>
          </w:p>
        </w:tc>
        <w:tc>
          <w:tcPr>
            <w:tcW w:w="1296" w:type="dxa"/>
            <w:tcBorders>
              <w:top w:val="single" w:sz="12" w:space="0" w:color="auto"/>
              <w:left w:val="nil"/>
              <w:bottom w:val="single" w:sz="12" w:space="0" w:color="auto"/>
              <w:right w:val="nil"/>
            </w:tcBorders>
            <w:shd w:val="clear" w:color="000000" w:fill="002C7C"/>
            <w:noWrap/>
            <w:vAlign w:val="center"/>
            <w:hideMark/>
          </w:tcPr>
          <w:p w14:paraId="771A6AFB" w14:textId="6960B008" w:rsidR="00C558E1" w:rsidRPr="00627DA0" w:rsidRDefault="00C558E1" w:rsidP="00C558E1">
            <w:pPr>
              <w:spacing w:after="0" w:line="240" w:lineRule="auto"/>
              <w:jc w:val="right"/>
              <w:rPr>
                <w:rFonts w:eastAsia="Times New Roman" w:cs="Calibri Light"/>
                <w:b/>
                <w:bCs/>
                <w:color w:val="FFFFFF"/>
                <w:sz w:val="20"/>
                <w:szCs w:val="20"/>
              </w:rPr>
            </w:pPr>
            <w:r w:rsidRPr="00627DA0">
              <w:rPr>
                <w:rFonts w:cs="Calibri"/>
                <w:b/>
                <w:bCs/>
                <w:color w:val="FFFFFF"/>
                <w:sz w:val="20"/>
                <w:szCs w:val="20"/>
              </w:rPr>
              <w:t>4-Year</w:t>
            </w:r>
          </w:p>
        </w:tc>
        <w:tc>
          <w:tcPr>
            <w:tcW w:w="1256" w:type="dxa"/>
            <w:tcBorders>
              <w:top w:val="single" w:sz="12" w:space="0" w:color="auto"/>
              <w:left w:val="nil"/>
              <w:bottom w:val="single" w:sz="12" w:space="0" w:color="auto"/>
              <w:right w:val="nil"/>
            </w:tcBorders>
            <w:shd w:val="clear" w:color="000000" w:fill="002C7C"/>
            <w:noWrap/>
            <w:vAlign w:val="center"/>
            <w:hideMark/>
          </w:tcPr>
          <w:p w14:paraId="4B87114D" w14:textId="777813EE" w:rsidR="00C558E1" w:rsidRPr="00627DA0" w:rsidRDefault="00C558E1" w:rsidP="00C558E1">
            <w:pPr>
              <w:spacing w:after="0" w:line="240" w:lineRule="auto"/>
              <w:jc w:val="right"/>
              <w:rPr>
                <w:rFonts w:eastAsia="Times New Roman" w:cs="Calibri Light"/>
                <w:b/>
                <w:bCs/>
                <w:color w:val="FFFFFF"/>
                <w:sz w:val="20"/>
                <w:szCs w:val="20"/>
              </w:rPr>
            </w:pPr>
            <w:r w:rsidRPr="00627DA0">
              <w:rPr>
                <w:rFonts w:cs="Calibri"/>
                <w:b/>
                <w:bCs/>
                <w:color w:val="FFFFFF"/>
                <w:sz w:val="20"/>
                <w:szCs w:val="20"/>
              </w:rPr>
              <w:t>10-Year</w:t>
            </w:r>
          </w:p>
        </w:tc>
        <w:tc>
          <w:tcPr>
            <w:tcW w:w="1256" w:type="dxa"/>
            <w:tcBorders>
              <w:top w:val="single" w:sz="12" w:space="0" w:color="auto"/>
              <w:left w:val="nil"/>
              <w:bottom w:val="single" w:sz="12" w:space="0" w:color="auto"/>
              <w:right w:val="nil"/>
            </w:tcBorders>
            <w:shd w:val="clear" w:color="000000" w:fill="002C7C"/>
            <w:noWrap/>
            <w:vAlign w:val="center"/>
            <w:hideMark/>
          </w:tcPr>
          <w:p w14:paraId="17AF8307" w14:textId="546103E2" w:rsidR="00C558E1" w:rsidRPr="00627DA0" w:rsidRDefault="00C558E1" w:rsidP="00C558E1">
            <w:pPr>
              <w:spacing w:after="0" w:line="240" w:lineRule="auto"/>
              <w:jc w:val="right"/>
              <w:rPr>
                <w:rFonts w:eastAsia="Times New Roman" w:cs="Calibri Light"/>
                <w:b/>
                <w:bCs/>
                <w:color w:val="FFFFFF"/>
                <w:sz w:val="20"/>
                <w:szCs w:val="20"/>
              </w:rPr>
            </w:pPr>
            <w:r w:rsidRPr="00627DA0">
              <w:rPr>
                <w:rFonts w:cs="Calibri"/>
                <w:b/>
                <w:bCs/>
                <w:color w:val="FFFFFF"/>
                <w:sz w:val="20"/>
                <w:szCs w:val="20"/>
              </w:rPr>
              <w:t>20-Year</w:t>
            </w:r>
          </w:p>
        </w:tc>
      </w:tr>
      <w:tr w:rsidR="000559D8" w:rsidRPr="00627DA0" w14:paraId="3DC2F4B1" w14:textId="77777777" w:rsidTr="000559D8">
        <w:trPr>
          <w:trHeight w:val="315"/>
          <w:jc w:val="center"/>
        </w:trPr>
        <w:tc>
          <w:tcPr>
            <w:tcW w:w="3536" w:type="dxa"/>
            <w:tcBorders>
              <w:top w:val="nil"/>
              <w:left w:val="nil"/>
              <w:bottom w:val="nil"/>
              <w:right w:val="nil"/>
            </w:tcBorders>
            <w:shd w:val="clear" w:color="000000" w:fill="F2F2F2"/>
            <w:noWrap/>
            <w:vAlign w:val="bottom"/>
            <w:hideMark/>
          </w:tcPr>
          <w:p w14:paraId="652AB44D"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All Electric</w:t>
            </w:r>
          </w:p>
        </w:tc>
        <w:tc>
          <w:tcPr>
            <w:tcW w:w="1176" w:type="dxa"/>
            <w:tcBorders>
              <w:top w:val="nil"/>
              <w:left w:val="nil"/>
              <w:bottom w:val="nil"/>
              <w:right w:val="nil"/>
            </w:tcBorders>
            <w:shd w:val="clear" w:color="000000" w:fill="F2F2F2"/>
            <w:noWrap/>
            <w:vAlign w:val="center"/>
            <w:hideMark/>
          </w:tcPr>
          <w:p w14:paraId="3253EA5B" w14:textId="22C92F44"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18</w:t>
            </w:r>
          </w:p>
        </w:tc>
        <w:tc>
          <w:tcPr>
            <w:tcW w:w="1296" w:type="dxa"/>
            <w:tcBorders>
              <w:top w:val="nil"/>
              <w:left w:val="nil"/>
              <w:bottom w:val="nil"/>
              <w:right w:val="nil"/>
            </w:tcBorders>
            <w:shd w:val="clear" w:color="000000" w:fill="F2F2F2"/>
            <w:noWrap/>
            <w:vAlign w:val="center"/>
            <w:hideMark/>
          </w:tcPr>
          <w:p w14:paraId="58526C9D" w14:textId="4568FD65"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75</w:t>
            </w:r>
          </w:p>
        </w:tc>
        <w:tc>
          <w:tcPr>
            <w:tcW w:w="1256" w:type="dxa"/>
            <w:tcBorders>
              <w:top w:val="nil"/>
              <w:left w:val="nil"/>
              <w:bottom w:val="nil"/>
              <w:right w:val="nil"/>
            </w:tcBorders>
            <w:shd w:val="clear" w:color="000000" w:fill="F2F2F2"/>
            <w:noWrap/>
            <w:vAlign w:val="center"/>
            <w:hideMark/>
          </w:tcPr>
          <w:p w14:paraId="6D1DAEC8" w14:textId="5FCBF102"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907</w:t>
            </w:r>
          </w:p>
        </w:tc>
        <w:tc>
          <w:tcPr>
            <w:tcW w:w="1256" w:type="dxa"/>
            <w:tcBorders>
              <w:top w:val="nil"/>
              <w:left w:val="nil"/>
              <w:bottom w:val="nil"/>
              <w:right w:val="nil"/>
            </w:tcBorders>
            <w:shd w:val="clear" w:color="000000" w:fill="F2F2F2"/>
            <w:noWrap/>
            <w:vAlign w:val="center"/>
            <w:hideMark/>
          </w:tcPr>
          <w:p w14:paraId="26C71024" w14:textId="7DCDA2F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2,989</w:t>
            </w:r>
          </w:p>
        </w:tc>
      </w:tr>
      <w:tr w:rsidR="000559D8" w:rsidRPr="00627DA0" w14:paraId="71030756" w14:textId="77777777" w:rsidTr="000559D8">
        <w:trPr>
          <w:trHeight w:val="300"/>
          <w:jc w:val="center"/>
        </w:trPr>
        <w:tc>
          <w:tcPr>
            <w:tcW w:w="3536" w:type="dxa"/>
            <w:tcBorders>
              <w:top w:val="nil"/>
              <w:left w:val="nil"/>
              <w:bottom w:val="nil"/>
              <w:right w:val="nil"/>
            </w:tcBorders>
            <w:noWrap/>
            <w:vAlign w:val="bottom"/>
            <w:hideMark/>
          </w:tcPr>
          <w:p w14:paraId="7B320C4E"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Compressed Air</w:t>
            </w:r>
          </w:p>
        </w:tc>
        <w:tc>
          <w:tcPr>
            <w:tcW w:w="1176" w:type="dxa"/>
            <w:tcBorders>
              <w:top w:val="nil"/>
              <w:left w:val="nil"/>
              <w:bottom w:val="nil"/>
              <w:right w:val="nil"/>
            </w:tcBorders>
            <w:noWrap/>
            <w:vAlign w:val="center"/>
            <w:hideMark/>
          </w:tcPr>
          <w:p w14:paraId="4A0EFCA7" w14:textId="6E073157"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w:t>
            </w:r>
          </w:p>
        </w:tc>
        <w:tc>
          <w:tcPr>
            <w:tcW w:w="1296" w:type="dxa"/>
            <w:tcBorders>
              <w:top w:val="nil"/>
              <w:left w:val="nil"/>
              <w:bottom w:val="nil"/>
              <w:right w:val="nil"/>
            </w:tcBorders>
            <w:noWrap/>
            <w:vAlign w:val="center"/>
            <w:hideMark/>
          </w:tcPr>
          <w:p w14:paraId="3BFF774C" w14:textId="0FCFD74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7</w:t>
            </w:r>
          </w:p>
        </w:tc>
        <w:tc>
          <w:tcPr>
            <w:tcW w:w="1256" w:type="dxa"/>
            <w:tcBorders>
              <w:top w:val="nil"/>
              <w:left w:val="nil"/>
              <w:bottom w:val="nil"/>
              <w:right w:val="nil"/>
            </w:tcBorders>
            <w:noWrap/>
            <w:vAlign w:val="center"/>
            <w:hideMark/>
          </w:tcPr>
          <w:p w14:paraId="52907646" w14:textId="4A19F3B1"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93</w:t>
            </w:r>
          </w:p>
        </w:tc>
        <w:tc>
          <w:tcPr>
            <w:tcW w:w="1256" w:type="dxa"/>
            <w:tcBorders>
              <w:top w:val="nil"/>
              <w:left w:val="nil"/>
              <w:bottom w:val="nil"/>
              <w:right w:val="nil"/>
            </w:tcBorders>
            <w:noWrap/>
            <w:vAlign w:val="center"/>
            <w:hideMark/>
          </w:tcPr>
          <w:p w14:paraId="0B164934" w14:textId="7447432B"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495</w:t>
            </w:r>
          </w:p>
        </w:tc>
      </w:tr>
      <w:tr w:rsidR="000559D8" w:rsidRPr="00627DA0" w14:paraId="2E2A2FC3"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1C3D57F8"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Fans and Blowers</w:t>
            </w:r>
          </w:p>
        </w:tc>
        <w:tc>
          <w:tcPr>
            <w:tcW w:w="1176" w:type="dxa"/>
            <w:tcBorders>
              <w:top w:val="nil"/>
              <w:left w:val="nil"/>
              <w:bottom w:val="nil"/>
              <w:right w:val="nil"/>
            </w:tcBorders>
            <w:shd w:val="clear" w:color="000000" w:fill="F2F2F2"/>
            <w:noWrap/>
            <w:vAlign w:val="center"/>
            <w:hideMark/>
          </w:tcPr>
          <w:p w14:paraId="786483F5" w14:textId="3A672D3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w:t>
            </w:r>
          </w:p>
        </w:tc>
        <w:tc>
          <w:tcPr>
            <w:tcW w:w="1296" w:type="dxa"/>
            <w:tcBorders>
              <w:top w:val="nil"/>
              <w:left w:val="nil"/>
              <w:bottom w:val="nil"/>
              <w:right w:val="nil"/>
            </w:tcBorders>
            <w:shd w:val="clear" w:color="000000" w:fill="F2F2F2"/>
            <w:noWrap/>
            <w:vAlign w:val="center"/>
            <w:hideMark/>
          </w:tcPr>
          <w:p w14:paraId="4327370E" w14:textId="3905F504"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9</w:t>
            </w:r>
          </w:p>
        </w:tc>
        <w:tc>
          <w:tcPr>
            <w:tcW w:w="1256" w:type="dxa"/>
            <w:tcBorders>
              <w:top w:val="nil"/>
              <w:left w:val="nil"/>
              <w:bottom w:val="nil"/>
              <w:right w:val="nil"/>
            </w:tcBorders>
            <w:shd w:val="clear" w:color="000000" w:fill="F2F2F2"/>
            <w:noWrap/>
            <w:vAlign w:val="center"/>
            <w:hideMark/>
          </w:tcPr>
          <w:p w14:paraId="5277E109" w14:textId="62119025"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145</w:t>
            </w:r>
          </w:p>
        </w:tc>
        <w:tc>
          <w:tcPr>
            <w:tcW w:w="1256" w:type="dxa"/>
            <w:tcBorders>
              <w:top w:val="nil"/>
              <w:left w:val="nil"/>
              <w:bottom w:val="nil"/>
              <w:right w:val="nil"/>
            </w:tcBorders>
            <w:shd w:val="clear" w:color="000000" w:fill="F2F2F2"/>
            <w:noWrap/>
            <w:vAlign w:val="center"/>
            <w:hideMark/>
          </w:tcPr>
          <w:p w14:paraId="5C010503" w14:textId="14654B3E"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919</w:t>
            </w:r>
          </w:p>
        </w:tc>
      </w:tr>
      <w:tr w:rsidR="000559D8" w:rsidRPr="00627DA0" w14:paraId="0831F941" w14:textId="77777777" w:rsidTr="000559D8">
        <w:trPr>
          <w:trHeight w:val="300"/>
          <w:jc w:val="center"/>
        </w:trPr>
        <w:tc>
          <w:tcPr>
            <w:tcW w:w="3536" w:type="dxa"/>
            <w:tcBorders>
              <w:top w:val="nil"/>
              <w:left w:val="nil"/>
              <w:bottom w:val="nil"/>
              <w:right w:val="nil"/>
            </w:tcBorders>
            <w:noWrap/>
            <w:vAlign w:val="bottom"/>
            <w:hideMark/>
          </w:tcPr>
          <w:p w14:paraId="2377265B"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HVAC</w:t>
            </w:r>
          </w:p>
        </w:tc>
        <w:tc>
          <w:tcPr>
            <w:tcW w:w="1176" w:type="dxa"/>
            <w:tcBorders>
              <w:top w:val="nil"/>
              <w:left w:val="nil"/>
              <w:bottom w:val="nil"/>
              <w:right w:val="nil"/>
            </w:tcBorders>
            <w:noWrap/>
            <w:vAlign w:val="center"/>
            <w:hideMark/>
          </w:tcPr>
          <w:p w14:paraId="2D0734B8" w14:textId="78D2A194"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w:t>
            </w:r>
          </w:p>
        </w:tc>
        <w:tc>
          <w:tcPr>
            <w:tcW w:w="1296" w:type="dxa"/>
            <w:tcBorders>
              <w:top w:val="nil"/>
              <w:left w:val="nil"/>
              <w:bottom w:val="nil"/>
              <w:right w:val="nil"/>
            </w:tcBorders>
            <w:noWrap/>
            <w:vAlign w:val="center"/>
            <w:hideMark/>
          </w:tcPr>
          <w:p w14:paraId="087E5183" w14:textId="2DBF340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8</w:t>
            </w:r>
          </w:p>
        </w:tc>
        <w:tc>
          <w:tcPr>
            <w:tcW w:w="1256" w:type="dxa"/>
            <w:tcBorders>
              <w:top w:val="nil"/>
              <w:left w:val="nil"/>
              <w:bottom w:val="nil"/>
              <w:right w:val="nil"/>
            </w:tcBorders>
            <w:noWrap/>
            <w:vAlign w:val="center"/>
            <w:hideMark/>
          </w:tcPr>
          <w:p w14:paraId="7109B9D2" w14:textId="48D98BBF"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100</w:t>
            </w:r>
          </w:p>
        </w:tc>
        <w:tc>
          <w:tcPr>
            <w:tcW w:w="1256" w:type="dxa"/>
            <w:tcBorders>
              <w:top w:val="nil"/>
              <w:left w:val="nil"/>
              <w:bottom w:val="nil"/>
              <w:right w:val="nil"/>
            </w:tcBorders>
            <w:noWrap/>
            <w:vAlign w:val="center"/>
            <w:hideMark/>
          </w:tcPr>
          <w:p w14:paraId="1D2AA613" w14:textId="229E10D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329</w:t>
            </w:r>
          </w:p>
        </w:tc>
      </w:tr>
      <w:tr w:rsidR="000559D8" w:rsidRPr="00627DA0" w14:paraId="04B9D65E"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0033D7A2"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Lighting</w:t>
            </w:r>
          </w:p>
        </w:tc>
        <w:tc>
          <w:tcPr>
            <w:tcW w:w="1176" w:type="dxa"/>
            <w:tcBorders>
              <w:top w:val="nil"/>
              <w:left w:val="nil"/>
              <w:bottom w:val="nil"/>
              <w:right w:val="nil"/>
            </w:tcBorders>
            <w:shd w:val="clear" w:color="000000" w:fill="F2F2F2"/>
            <w:noWrap/>
            <w:vAlign w:val="center"/>
            <w:hideMark/>
          </w:tcPr>
          <w:p w14:paraId="5FE40AFC" w14:textId="140DD210"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30</w:t>
            </w:r>
          </w:p>
        </w:tc>
        <w:tc>
          <w:tcPr>
            <w:tcW w:w="1296" w:type="dxa"/>
            <w:tcBorders>
              <w:top w:val="nil"/>
              <w:left w:val="nil"/>
              <w:bottom w:val="nil"/>
              <w:right w:val="nil"/>
            </w:tcBorders>
            <w:shd w:val="clear" w:color="000000" w:fill="F2F2F2"/>
            <w:noWrap/>
            <w:vAlign w:val="center"/>
            <w:hideMark/>
          </w:tcPr>
          <w:p w14:paraId="4A865B09" w14:textId="5013A9B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104</w:t>
            </w:r>
          </w:p>
        </w:tc>
        <w:tc>
          <w:tcPr>
            <w:tcW w:w="1256" w:type="dxa"/>
            <w:tcBorders>
              <w:top w:val="nil"/>
              <w:left w:val="nil"/>
              <w:bottom w:val="nil"/>
              <w:right w:val="nil"/>
            </w:tcBorders>
            <w:shd w:val="clear" w:color="000000" w:fill="F2F2F2"/>
            <w:noWrap/>
            <w:vAlign w:val="center"/>
            <w:hideMark/>
          </w:tcPr>
          <w:p w14:paraId="1F5F494E" w14:textId="5562CE2F"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848</w:t>
            </w:r>
          </w:p>
        </w:tc>
        <w:tc>
          <w:tcPr>
            <w:tcW w:w="1256" w:type="dxa"/>
            <w:tcBorders>
              <w:top w:val="nil"/>
              <w:left w:val="nil"/>
              <w:bottom w:val="nil"/>
              <w:right w:val="nil"/>
            </w:tcBorders>
            <w:shd w:val="clear" w:color="000000" w:fill="F2F2F2"/>
            <w:noWrap/>
            <w:vAlign w:val="center"/>
            <w:hideMark/>
          </w:tcPr>
          <w:p w14:paraId="258BF16E" w14:textId="13FCB3E8"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1,979</w:t>
            </w:r>
          </w:p>
        </w:tc>
      </w:tr>
      <w:tr w:rsidR="000559D8" w:rsidRPr="00627DA0" w14:paraId="67D9F88E" w14:textId="77777777" w:rsidTr="000559D8">
        <w:trPr>
          <w:trHeight w:val="300"/>
          <w:jc w:val="center"/>
        </w:trPr>
        <w:tc>
          <w:tcPr>
            <w:tcW w:w="3536" w:type="dxa"/>
            <w:tcBorders>
              <w:top w:val="nil"/>
              <w:left w:val="nil"/>
              <w:bottom w:val="nil"/>
              <w:right w:val="nil"/>
            </w:tcBorders>
            <w:noWrap/>
            <w:vAlign w:val="bottom"/>
            <w:hideMark/>
          </w:tcPr>
          <w:p w14:paraId="6861799C" w14:textId="093E2469"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Low Temp Refrigeration</w:t>
            </w:r>
          </w:p>
        </w:tc>
        <w:tc>
          <w:tcPr>
            <w:tcW w:w="1176" w:type="dxa"/>
            <w:tcBorders>
              <w:top w:val="nil"/>
              <w:left w:val="nil"/>
              <w:bottom w:val="nil"/>
              <w:right w:val="nil"/>
            </w:tcBorders>
            <w:noWrap/>
            <w:vAlign w:val="center"/>
            <w:hideMark/>
          </w:tcPr>
          <w:p w14:paraId="7E834EFA" w14:textId="579B936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96" w:type="dxa"/>
            <w:tcBorders>
              <w:top w:val="nil"/>
              <w:left w:val="nil"/>
              <w:bottom w:val="nil"/>
              <w:right w:val="nil"/>
            </w:tcBorders>
            <w:noWrap/>
            <w:vAlign w:val="center"/>
            <w:hideMark/>
          </w:tcPr>
          <w:p w14:paraId="0E79CFF3" w14:textId="625A691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w:t>
            </w:r>
          </w:p>
        </w:tc>
        <w:tc>
          <w:tcPr>
            <w:tcW w:w="1256" w:type="dxa"/>
            <w:tcBorders>
              <w:top w:val="nil"/>
              <w:left w:val="nil"/>
              <w:bottom w:val="nil"/>
              <w:right w:val="nil"/>
            </w:tcBorders>
            <w:noWrap/>
            <w:vAlign w:val="center"/>
            <w:hideMark/>
          </w:tcPr>
          <w:p w14:paraId="722B4BF4" w14:textId="1687C625"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15</w:t>
            </w:r>
          </w:p>
        </w:tc>
        <w:tc>
          <w:tcPr>
            <w:tcW w:w="1256" w:type="dxa"/>
            <w:tcBorders>
              <w:top w:val="nil"/>
              <w:left w:val="nil"/>
              <w:bottom w:val="nil"/>
              <w:right w:val="nil"/>
            </w:tcBorders>
            <w:noWrap/>
            <w:vAlign w:val="center"/>
            <w:hideMark/>
          </w:tcPr>
          <w:p w14:paraId="020DD611" w14:textId="4C8553C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73</w:t>
            </w:r>
          </w:p>
        </w:tc>
      </w:tr>
      <w:tr w:rsidR="000559D8" w:rsidRPr="00627DA0" w14:paraId="0B56B956"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30214A23"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Material Handling</w:t>
            </w:r>
          </w:p>
        </w:tc>
        <w:tc>
          <w:tcPr>
            <w:tcW w:w="1176" w:type="dxa"/>
            <w:tcBorders>
              <w:top w:val="nil"/>
              <w:left w:val="nil"/>
              <w:bottom w:val="nil"/>
              <w:right w:val="nil"/>
            </w:tcBorders>
            <w:shd w:val="clear" w:color="000000" w:fill="F2F2F2"/>
            <w:noWrap/>
            <w:vAlign w:val="center"/>
            <w:hideMark/>
          </w:tcPr>
          <w:p w14:paraId="0825F670" w14:textId="4BE7FD1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96" w:type="dxa"/>
            <w:tcBorders>
              <w:top w:val="nil"/>
              <w:left w:val="nil"/>
              <w:bottom w:val="nil"/>
              <w:right w:val="nil"/>
            </w:tcBorders>
            <w:shd w:val="clear" w:color="000000" w:fill="F2F2F2"/>
            <w:noWrap/>
            <w:vAlign w:val="center"/>
            <w:hideMark/>
          </w:tcPr>
          <w:p w14:paraId="336BD25F" w14:textId="66C7533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w:t>
            </w:r>
          </w:p>
        </w:tc>
        <w:tc>
          <w:tcPr>
            <w:tcW w:w="1256" w:type="dxa"/>
            <w:tcBorders>
              <w:top w:val="nil"/>
              <w:left w:val="nil"/>
              <w:bottom w:val="nil"/>
              <w:right w:val="nil"/>
            </w:tcBorders>
            <w:shd w:val="clear" w:color="000000" w:fill="F2F2F2"/>
            <w:noWrap/>
            <w:vAlign w:val="center"/>
            <w:hideMark/>
          </w:tcPr>
          <w:p w14:paraId="4A725C61" w14:textId="6FD26072"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10</w:t>
            </w:r>
          </w:p>
        </w:tc>
        <w:tc>
          <w:tcPr>
            <w:tcW w:w="1256" w:type="dxa"/>
            <w:tcBorders>
              <w:top w:val="nil"/>
              <w:left w:val="nil"/>
              <w:bottom w:val="nil"/>
              <w:right w:val="nil"/>
            </w:tcBorders>
            <w:shd w:val="clear" w:color="000000" w:fill="F2F2F2"/>
            <w:noWrap/>
            <w:vAlign w:val="center"/>
            <w:hideMark/>
          </w:tcPr>
          <w:p w14:paraId="204ED539" w14:textId="297CBD4D"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81</w:t>
            </w:r>
          </w:p>
        </w:tc>
      </w:tr>
      <w:tr w:rsidR="000559D8" w:rsidRPr="00627DA0" w14:paraId="1B53B9BE" w14:textId="77777777" w:rsidTr="000559D8">
        <w:trPr>
          <w:trHeight w:val="300"/>
          <w:jc w:val="center"/>
        </w:trPr>
        <w:tc>
          <w:tcPr>
            <w:tcW w:w="3536" w:type="dxa"/>
            <w:tcBorders>
              <w:top w:val="nil"/>
              <w:left w:val="nil"/>
              <w:bottom w:val="nil"/>
              <w:right w:val="nil"/>
            </w:tcBorders>
            <w:noWrap/>
            <w:vAlign w:val="bottom"/>
            <w:hideMark/>
          </w:tcPr>
          <w:p w14:paraId="1910D29D"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Material Processing</w:t>
            </w:r>
          </w:p>
        </w:tc>
        <w:tc>
          <w:tcPr>
            <w:tcW w:w="1176" w:type="dxa"/>
            <w:tcBorders>
              <w:top w:val="nil"/>
              <w:left w:val="nil"/>
              <w:bottom w:val="nil"/>
              <w:right w:val="nil"/>
            </w:tcBorders>
            <w:noWrap/>
            <w:vAlign w:val="center"/>
            <w:hideMark/>
          </w:tcPr>
          <w:p w14:paraId="356C979E" w14:textId="3E19A5E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96" w:type="dxa"/>
            <w:tcBorders>
              <w:top w:val="nil"/>
              <w:left w:val="nil"/>
              <w:bottom w:val="nil"/>
              <w:right w:val="nil"/>
            </w:tcBorders>
            <w:noWrap/>
            <w:vAlign w:val="center"/>
            <w:hideMark/>
          </w:tcPr>
          <w:p w14:paraId="22016649" w14:textId="5BBC47C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w:t>
            </w:r>
          </w:p>
        </w:tc>
        <w:tc>
          <w:tcPr>
            <w:tcW w:w="1256" w:type="dxa"/>
            <w:tcBorders>
              <w:top w:val="nil"/>
              <w:left w:val="nil"/>
              <w:bottom w:val="nil"/>
              <w:right w:val="nil"/>
            </w:tcBorders>
            <w:noWrap/>
            <w:vAlign w:val="center"/>
            <w:hideMark/>
          </w:tcPr>
          <w:p w14:paraId="2ABDC8DA" w14:textId="643BB47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21</w:t>
            </w:r>
          </w:p>
        </w:tc>
        <w:tc>
          <w:tcPr>
            <w:tcW w:w="1256" w:type="dxa"/>
            <w:tcBorders>
              <w:top w:val="nil"/>
              <w:left w:val="nil"/>
              <w:bottom w:val="nil"/>
              <w:right w:val="nil"/>
            </w:tcBorders>
            <w:noWrap/>
            <w:vAlign w:val="center"/>
            <w:hideMark/>
          </w:tcPr>
          <w:p w14:paraId="4DCF0DDD" w14:textId="2840D86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163</w:t>
            </w:r>
          </w:p>
        </w:tc>
      </w:tr>
      <w:tr w:rsidR="000559D8" w:rsidRPr="00627DA0" w14:paraId="26DBA623"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76097B6C" w14:textId="2BEE93B3"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Med Temp Refrigeration</w:t>
            </w:r>
          </w:p>
        </w:tc>
        <w:tc>
          <w:tcPr>
            <w:tcW w:w="1176" w:type="dxa"/>
            <w:tcBorders>
              <w:top w:val="nil"/>
              <w:left w:val="nil"/>
              <w:bottom w:val="nil"/>
              <w:right w:val="nil"/>
            </w:tcBorders>
            <w:shd w:val="clear" w:color="000000" w:fill="F2F2F2"/>
            <w:noWrap/>
            <w:vAlign w:val="center"/>
            <w:hideMark/>
          </w:tcPr>
          <w:p w14:paraId="64D0D06C" w14:textId="54735576"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5</w:t>
            </w:r>
          </w:p>
        </w:tc>
        <w:tc>
          <w:tcPr>
            <w:tcW w:w="1296" w:type="dxa"/>
            <w:tcBorders>
              <w:top w:val="nil"/>
              <w:left w:val="nil"/>
              <w:bottom w:val="nil"/>
              <w:right w:val="nil"/>
            </w:tcBorders>
            <w:shd w:val="clear" w:color="000000" w:fill="F2F2F2"/>
            <w:noWrap/>
            <w:vAlign w:val="center"/>
            <w:hideMark/>
          </w:tcPr>
          <w:p w14:paraId="39D8B88B" w14:textId="5CC3D62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20</w:t>
            </w:r>
          </w:p>
        </w:tc>
        <w:tc>
          <w:tcPr>
            <w:tcW w:w="1256" w:type="dxa"/>
            <w:tcBorders>
              <w:top w:val="nil"/>
              <w:left w:val="nil"/>
              <w:bottom w:val="nil"/>
              <w:right w:val="nil"/>
            </w:tcBorders>
            <w:shd w:val="clear" w:color="000000" w:fill="F2F2F2"/>
            <w:noWrap/>
            <w:vAlign w:val="center"/>
            <w:hideMark/>
          </w:tcPr>
          <w:p w14:paraId="4A2C8942" w14:textId="61B6548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247</w:t>
            </w:r>
          </w:p>
        </w:tc>
        <w:tc>
          <w:tcPr>
            <w:tcW w:w="1256" w:type="dxa"/>
            <w:tcBorders>
              <w:top w:val="nil"/>
              <w:left w:val="nil"/>
              <w:bottom w:val="nil"/>
              <w:right w:val="nil"/>
            </w:tcBorders>
            <w:shd w:val="clear" w:color="000000" w:fill="F2F2F2"/>
            <w:noWrap/>
            <w:vAlign w:val="center"/>
            <w:hideMark/>
          </w:tcPr>
          <w:p w14:paraId="299A7DDF" w14:textId="732B4362"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909</w:t>
            </w:r>
          </w:p>
        </w:tc>
      </w:tr>
      <w:tr w:rsidR="000559D8" w:rsidRPr="00627DA0" w14:paraId="7970D29F" w14:textId="77777777" w:rsidTr="000559D8">
        <w:trPr>
          <w:trHeight w:val="300"/>
          <w:jc w:val="center"/>
        </w:trPr>
        <w:tc>
          <w:tcPr>
            <w:tcW w:w="3536" w:type="dxa"/>
            <w:tcBorders>
              <w:top w:val="nil"/>
              <w:left w:val="nil"/>
              <w:bottom w:val="nil"/>
              <w:right w:val="nil"/>
            </w:tcBorders>
            <w:noWrap/>
            <w:vAlign w:val="bottom"/>
            <w:hideMark/>
          </w:tcPr>
          <w:p w14:paraId="53814330"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Melting and Casting</w:t>
            </w:r>
          </w:p>
        </w:tc>
        <w:tc>
          <w:tcPr>
            <w:tcW w:w="1176" w:type="dxa"/>
            <w:tcBorders>
              <w:top w:val="nil"/>
              <w:left w:val="nil"/>
              <w:bottom w:val="nil"/>
              <w:right w:val="nil"/>
            </w:tcBorders>
            <w:noWrap/>
            <w:vAlign w:val="center"/>
            <w:hideMark/>
          </w:tcPr>
          <w:p w14:paraId="20FB644D" w14:textId="66810E2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96" w:type="dxa"/>
            <w:tcBorders>
              <w:top w:val="nil"/>
              <w:left w:val="nil"/>
              <w:bottom w:val="nil"/>
              <w:right w:val="nil"/>
            </w:tcBorders>
            <w:noWrap/>
            <w:vAlign w:val="center"/>
            <w:hideMark/>
          </w:tcPr>
          <w:p w14:paraId="6743ABF9" w14:textId="0CB46CE6"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56" w:type="dxa"/>
            <w:tcBorders>
              <w:top w:val="nil"/>
              <w:left w:val="nil"/>
              <w:bottom w:val="nil"/>
              <w:right w:val="nil"/>
            </w:tcBorders>
            <w:noWrap/>
            <w:vAlign w:val="center"/>
            <w:hideMark/>
          </w:tcPr>
          <w:p w14:paraId="2A294CAB" w14:textId="3F67412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56" w:type="dxa"/>
            <w:tcBorders>
              <w:top w:val="nil"/>
              <w:left w:val="nil"/>
              <w:bottom w:val="nil"/>
              <w:right w:val="nil"/>
            </w:tcBorders>
            <w:noWrap/>
            <w:vAlign w:val="center"/>
            <w:hideMark/>
          </w:tcPr>
          <w:p w14:paraId="0D6F1477" w14:textId="536068D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r>
      <w:tr w:rsidR="000559D8" w:rsidRPr="00627DA0" w14:paraId="498789B2"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784D2335"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Other</w:t>
            </w:r>
          </w:p>
        </w:tc>
        <w:tc>
          <w:tcPr>
            <w:tcW w:w="1176" w:type="dxa"/>
            <w:tcBorders>
              <w:top w:val="nil"/>
              <w:left w:val="nil"/>
              <w:bottom w:val="nil"/>
              <w:right w:val="nil"/>
            </w:tcBorders>
            <w:shd w:val="clear" w:color="000000" w:fill="F2F2F2"/>
            <w:noWrap/>
            <w:vAlign w:val="center"/>
            <w:hideMark/>
          </w:tcPr>
          <w:p w14:paraId="424C956D" w14:textId="75EC39A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96" w:type="dxa"/>
            <w:tcBorders>
              <w:top w:val="nil"/>
              <w:left w:val="nil"/>
              <w:bottom w:val="nil"/>
              <w:right w:val="nil"/>
            </w:tcBorders>
            <w:shd w:val="clear" w:color="000000" w:fill="F2F2F2"/>
            <w:noWrap/>
            <w:vAlign w:val="center"/>
            <w:hideMark/>
          </w:tcPr>
          <w:p w14:paraId="0F0D431A" w14:textId="31E322C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56" w:type="dxa"/>
            <w:tcBorders>
              <w:top w:val="nil"/>
              <w:left w:val="nil"/>
              <w:bottom w:val="nil"/>
              <w:right w:val="nil"/>
            </w:tcBorders>
            <w:shd w:val="clear" w:color="000000" w:fill="F2F2F2"/>
            <w:noWrap/>
            <w:vAlign w:val="center"/>
            <w:hideMark/>
          </w:tcPr>
          <w:p w14:paraId="0AD40162" w14:textId="15657AF4"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c>
          <w:tcPr>
            <w:tcW w:w="1256" w:type="dxa"/>
            <w:tcBorders>
              <w:top w:val="nil"/>
              <w:left w:val="nil"/>
              <w:bottom w:val="nil"/>
              <w:right w:val="nil"/>
            </w:tcBorders>
            <w:shd w:val="clear" w:color="000000" w:fill="F2F2F2"/>
            <w:noWrap/>
            <w:vAlign w:val="center"/>
            <w:hideMark/>
          </w:tcPr>
          <w:p w14:paraId="0245C447" w14:textId="08695E9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w:t>
            </w:r>
          </w:p>
        </w:tc>
      </w:tr>
      <w:tr w:rsidR="000559D8" w:rsidRPr="00627DA0" w14:paraId="2F9144F8" w14:textId="77777777" w:rsidTr="000559D8">
        <w:trPr>
          <w:trHeight w:val="300"/>
          <w:jc w:val="center"/>
        </w:trPr>
        <w:tc>
          <w:tcPr>
            <w:tcW w:w="3536" w:type="dxa"/>
            <w:tcBorders>
              <w:top w:val="nil"/>
              <w:left w:val="nil"/>
              <w:bottom w:val="nil"/>
              <w:right w:val="nil"/>
            </w:tcBorders>
            <w:noWrap/>
            <w:vAlign w:val="bottom"/>
            <w:hideMark/>
          </w:tcPr>
          <w:p w14:paraId="6FBA4A74"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Other Motors</w:t>
            </w:r>
          </w:p>
        </w:tc>
        <w:tc>
          <w:tcPr>
            <w:tcW w:w="1176" w:type="dxa"/>
            <w:tcBorders>
              <w:top w:val="nil"/>
              <w:left w:val="nil"/>
              <w:bottom w:val="nil"/>
              <w:right w:val="nil"/>
            </w:tcBorders>
            <w:noWrap/>
            <w:vAlign w:val="center"/>
            <w:hideMark/>
          </w:tcPr>
          <w:p w14:paraId="58C73E59" w14:textId="5B1280C8"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96" w:type="dxa"/>
            <w:tcBorders>
              <w:top w:val="nil"/>
              <w:left w:val="nil"/>
              <w:bottom w:val="nil"/>
              <w:right w:val="nil"/>
            </w:tcBorders>
            <w:noWrap/>
            <w:vAlign w:val="center"/>
            <w:hideMark/>
          </w:tcPr>
          <w:p w14:paraId="6EAFC00F" w14:textId="037B2ECA"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56" w:type="dxa"/>
            <w:tcBorders>
              <w:top w:val="nil"/>
              <w:left w:val="nil"/>
              <w:bottom w:val="nil"/>
              <w:right w:val="nil"/>
            </w:tcBorders>
            <w:noWrap/>
            <w:vAlign w:val="center"/>
            <w:hideMark/>
          </w:tcPr>
          <w:p w14:paraId="6767F695" w14:textId="58F68337"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6</w:t>
            </w:r>
          </w:p>
        </w:tc>
        <w:tc>
          <w:tcPr>
            <w:tcW w:w="1256" w:type="dxa"/>
            <w:tcBorders>
              <w:top w:val="nil"/>
              <w:left w:val="nil"/>
              <w:bottom w:val="nil"/>
              <w:right w:val="nil"/>
            </w:tcBorders>
            <w:noWrap/>
            <w:vAlign w:val="center"/>
            <w:hideMark/>
          </w:tcPr>
          <w:p w14:paraId="1A6BAB24" w14:textId="287DC03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51</w:t>
            </w:r>
          </w:p>
        </w:tc>
      </w:tr>
      <w:tr w:rsidR="000559D8" w:rsidRPr="00627DA0" w14:paraId="6272F080" w14:textId="77777777" w:rsidTr="000559D8">
        <w:trPr>
          <w:trHeight w:val="300"/>
          <w:jc w:val="center"/>
        </w:trPr>
        <w:tc>
          <w:tcPr>
            <w:tcW w:w="3536" w:type="dxa"/>
            <w:tcBorders>
              <w:top w:val="nil"/>
              <w:left w:val="nil"/>
              <w:bottom w:val="nil"/>
              <w:right w:val="nil"/>
            </w:tcBorders>
            <w:shd w:val="clear" w:color="000000" w:fill="F2F2F2"/>
            <w:noWrap/>
            <w:vAlign w:val="bottom"/>
            <w:hideMark/>
          </w:tcPr>
          <w:p w14:paraId="730F9D1B"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Pollution Control</w:t>
            </w:r>
          </w:p>
        </w:tc>
        <w:tc>
          <w:tcPr>
            <w:tcW w:w="1176" w:type="dxa"/>
            <w:tcBorders>
              <w:top w:val="nil"/>
              <w:left w:val="nil"/>
              <w:bottom w:val="nil"/>
              <w:right w:val="nil"/>
            </w:tcBorders>
            <w:shd w:val="clear" w:color="000000" w:fill="F2F2F2"/>
            <w:noWrap/>
            <w:vAlign w:val="center"/>
            <w:hideMark/>
          </w:tcPr>
          <w:p w14:paraId="390B0BCC" w14:textId="7BA6154B"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96" w:type="dxa"/>
            <w:tcBorders>
              <w:top w:val="nil"/>
              <w:left w:val="nil"/>
              <w:bottom w:val="nil"/>
              <w:right w:val="nil"/>
            </w:tcBorders>
            <w:shd w:val="clear" w:color="000000" w:fill="F2F2F2"/>
            <w:noWrap/>
            <w:vAlign w:val="center"/>
            <w:hideMark/>
          </w:tcPr>
          <w:p w14:paraId="77D055AA" w14:textId="68D93F6C"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0</w:t>
            </w:r>
          </w:p>
        </w:tc>
        <w:tc>
          <w:tcPr>
            <w:tcW w:w="1256" w:type="dxa"/>
            <w:tcBorders>
              <w:top w:val="nil"/>
              <w:left w:val="nil"/>
              <w:bottom w:val="nil"/>
              <w:right w:val="nil"/>
            </w:tcBorders>
            <w:shd w:val="clear" w:color="000000" w:fill="F2F2F2"/>
            <w:noWrap/>
            <w:vAlign w:val="center"/>
            <w:hideMark/>
          </w:tcPr>
          <w:p w14:paraId="0E7362AE" w14:textId="7B550314"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1</w:t>
            </w:r>
          </w:p>
        </w:tc>
        <w:tc>
          <w:tcPr>
            <w:tcW w:w="1256" w:type="dxa"/>
            <w:tcBorders>
              <w:top w:val="nil"/>
              <w:left w:val="nil"/>
              <w:bottom w:val="nil"/>
              <w:right w:val="nil"/>
            </w:tcBorders>
            <w:shd w:val="clear" w:color="000000" w:fill="F2F2F2"/>
            <w:noWrap/>
            <w:vAlign w:val="center"/>
            <w:hideMark/>
          </w:tcPr>
          <w:p w14:paraId="7B9D73DD" w14:textId="26430565"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7</w:t>
            </w:r>
          </w:p>
        </w:tc>
      </w:tr>
      <w:tr w:rsidR="000559D8" w:rsidRPr="00627DA0" w14:paraId="2C07E845" w14:textId="77777777" w:rsidTr="000559D8">
        <w:trPr>
          <w:trHeight w:val="315"/>
          <w:jc w:val="center"/>
        </w:trPr>
        <w:tc>
          <w:tcPr>
            <w:tcW w:w="3536" w:type="dxa"/>
            <w:tcBorders>
              <w:top w:val="nil"/>
              <w:left w:val="nil"/>
              <w:bottom w:val="nil"/>
              <w:right w:val="nil"/>
            </w:tcBorders>
            <w:noWrap/>
            <w:vAlign w:val="bottom"/>
            <w:hideMark/>
          </w:tcPr>
          <w:p w14:paraId="6E814B38" w14:textId="77777777" w:rsidR="000559D8" w:rsidRPr="00627DA0" w:rsidRDefault="000559D8" w:rsidP="000559D8">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Pumps</w:t>
            </w:r>
          </w:p>
        </w:tc>
        <w:tc>
          <w:tcPr>
            <w:tcW w:w="1176" w:type="dxa"/>
            <w:tcBorders>
              <w:top w:val="nil"/>
              <w:left w:val="nil"/>
              <w:bottom w:val="nil"/>
              <w:right w:val="nil"/>
            </w:tcBorders>
            <w:noWrap/>
            <w:vAlign w:val="center"/>
            <w:hideMark/>
          </w:tcPr>
          <w:p w14:paraId="712F92AF" w14:textId="57943F29"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6</w:t>
            </w:r>
          </w:p>
        </w:tc>
        <w:tc>
          <w:tcPr>
            <w:tcW w:w="1296" w:type="dxa"/>
            <w:tcBorders>
              <w:top w:val="nil"/>
              <w:left w:val="nil"/>
              <w:bottom w:val="nil"/>
              <w:right w:val="nil"/>
            </w:tcBorders>
            <w:noWrap/>
            <w:vAlign w:val="center"/>
            <w:hideMark/>
          </w:tcPr>
          <w:p w14:paraId="491B40C7" w14:textId="7C189F08"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24</w:t>
            </w:r>
          </w:p>
        </w:tc>
        <w:tc>
          <w:tcPr>
            <w:tcW w:w="1256" w:type="dxa"/>
            <w:tcBorders>
              <w:top w:val="nil"/>
              <w:left w:val="nil"/>
              <w:bottom w:val="nil"/>
              <w:right w:val="nil"/>
            </w:tcBorders>
            <w:noWrap/>
            <w:vAlign w:val="center"/>
            <w:hideMark/>
          </w:tcPr>
          <w:p w14:paraId="35910037" w14:textId="474CEFE3"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369</w:t>
            </w:r>
          </w:p>
        </w:tc>
        <w:tc>
          <w:tcPr>
            <w:tcW w:w="1256" w:type="dxa"/>
            <w:tcBorders>
              <w:top w:val="nil"/>
              <w:left w:val="nil"/>
              <w:bottom w:val="nil"/>
              <w:right w:val="nil"/>
            </w:tcBorders>
            <w:noWrap/>
            <w:vAlign w:val="center"/>
            <w:hideMark/>
          </w:tcPr>
          <w:p w14:paraId="16C2035E" w14:textId="079D7E25" w:rsidR="000559D8" w:rsidRPr="00627DA0" w:rsidRDefault="000559D8" w:rsidP="000559D8">
            <w:pPr>
              <w:spacing w:after="0" w:line="240" w:lineRule="auto"/>
              <w:jc w:val="right"/>
              <w:rPr>
                <w:rFonts w:eastAsia="Times New Roman" w:cs="Calibri Light"/>
                <w:color w:val="000000"/>
                <w:sz w:val="20"/>
                <w:szCs w:val="20"/>
              </w:rPr>
            </w:pPr>
            <w:r w:rsidRPr="00627DA0">
              <w:rPr>
                <w:rFonts w:cs="Calibri"/>
                <w:color w:val="000000"/>
                <w:sz w:val="20"/>
                <w:szCs w:val="20"/>
              </w:rPr>
              <w:t>2,265</w:t>
            </w:r>
          </w:p>
        </w:tc>
      </w:tr>
      <w:tr w:rsidR="000559D8" w:rsidRPr="00627DA0" w14:paraId="1C7E87A1" w14:textId="77777777" w:rsidTr="000559D8">
        <w:trPr>
          <w:trHeight w:val="315"/>
          <w:jc w:val="center"/>
        </w:trPr>
        <w:tc>
          <w:tcPr>
            <w:tcW w:w="3536" w:type="dxa"/>
            <w:tcBorders>
              <w:top w:val="single" w:sz="8" w:space="0" w:color="auto"/>
              <w:left w:val="nil"/>
              <w:bottom w:val="single" w:sz="12" w:space="0" w:color="auto"/>
              <w:right w:val="nil"/>
            </w:tcBorders>
            <w:shd w:val="clear" w:color="000000" w:fill="F2F2F2"/>
            <w:noWrap/>
            <w:vAlign w:val="center"/>
            <w:hideMark/>
          </w:tcPr>
          <w:p w14:paraId="46665E9B" w14:textId="77777777" w:rsidR="000559D8" w:rsidRPr="00627DA0" w:rsidRDefault="000559D8" w:rsidP="000559D8">
            <w:pPr>
              <w:spacing w:after="0" w:line="240" w:lineRule="auto"/>
              <w:jc w:val="left"/>
              <w:rPr>
                <w:rFonts w:eastAsia="Times New Roman" w:cs="Calibri Light"/>
                <w:b/>
                <w:bCs/>
                <w:color w:val="000000"/>
                <w:sz w:val="20"/>
                <w:szCs w:val="20"/>
              </w:rPr>
            </w:pPr>
            <w:r w:rsidRPr="00627DA0">
              <w:rPr>
                <w:rFonts w:eastAsia="Times New Roman" w:cs="Calibri Light"/>
                <w:b/>
                <w:bCs/>
                <w:color w:val="000000"/>
                <w:sz w:val="20"/>
                <w:szCs w:val="20"/>
              </w:rPr>
              <w:t>Total</w:t>
            </w:r>
          </w:p>
        </w:tc>
        <w:tc>
          <w:tcPr>
            <w:tcW w:w="1176" w:type="dxa"/>
            <w:tcBorders>
              <w:top w:val="single" w:sz="8" w:space="0" w:color="auto"/>
              <w:left w:val="nil"/>
              <w:bottom w:val="single" w:sz="12" w:space="0" w:color="auto"/>
              <w:right w:val="nil"/>
            </w:tcBorders>
            <w:shd w:val="clear" w:color="000000" w:fill="F2F2F2"/>
            <w:noWrap/>
            <w:vAlign w:val="center"/>
            <w:hideMark/>
          </w:tcPr>
          <w:p w14:paraId="60483B58" w14:textId="6628DA45" w:rsidR="000559D8" w:rsidRPr="00627DA0" w:rsidRDefault="000559D8" w:rsidP="000559D8">
            <w:pPr>
              <w:spacing w:after="0" w:line="240" w:lineRule="auto"/>
              <w:jc w:val="right"/>
              <w:rPr>
                <w:rFonts w:eastAsia="Times New Roman" w:cs="Calibri Light"/>
                <w:b/>
                <w:bCs/>
                <w:color w:val="000000"/>
                <w:sz w:val="20"/>
                <w:szCs w:val="20"/>
              </w:rPr>
            </w:pPr>
            <w:r w:rsidRPr="00627DA0">
              <w:rPr>
                <w:rFonts w:cs="Calibri"/>
                <w:b/>
                <w:bCs/>
                <w:color w:val="000000"/>
                <w:sz w:val="20"/>
                <w:szCs w:val="20"/>
              </w:rPr>
              <w:t>64</w:t>
            </w:r>
          </w:p>
        </w:tc>
        <w:tc>
          <w:tcPr>
            <w:tcW w:w="1296" w:type="dxa"/>
            <w:tcBorders>
              <w:top w:val="single" w:sz="8" w:space="0" w:color="auto"/>
              <w:left w:val="nil"/>
              <w:bottom w:val="single" w:sz="12" w:space="0" w:color="auto"/>
              <w:right w:val="nil"/>
            </w:tcBorders>
            <w:shd w:val="clear" w:color="000000" w:fill="F2F2F2"/>
            <w:noWrap/>
            <w:vAlign w:val="center"/>
            <w:hideMark/>
          </w:tcPr>
          <w:p w14:paraId="4E199368" w14:textId="6A481E5D" w:rsidR="000559D8" w:rsidRPr="00627DA0" w:rsidRDefault="000559D8" w:rsidP="000559D8">
            <w:pPr>
              <w:spacing w:after="0" w:line="240" w:lineRule="auto"/>
              <w:jc w:val="right"/>
              <w:rPr>
                <w:rFonts w:eastAsia="Times New Roman" w:cs="Calibri Light"/>
                <w:b/>
                <w:bCs/>
                <w:color w:val="000000"/>
                <w:sz w:val="20"/>
                <w:szCs w:val="20"/>
              </w:rPr>
            </w:pPr>
            <w:r w:rsidRPr="00627DA0">
              <w:rPr>
                <w:rFonts w:cs="Calibri"/>
                <w:b/>
                <w:bCs/>
                <w:color w:val="000000"/>
                <w:sz w:val="20"/>
                <w:szCs w:val="20"/>
              </w:rPr>
              <w:t>250</w:t>
            </w:r>
          </w:p>
        </w:tc>
        <w:tc>
          <w:tcPr>
            <w:tcW w:w="1256" w:type="dxa"/>
            <w:tcBorders>
              <w:top w:val="single" w:sz="8" w:space="0" w:color="auto"/>
              <w:left w:val="nil"/>
              <w:bottom w:val="single" w:sz="12" w:space="0" w:color="auto"/>
              <w:right w:val="nil"/>
            </w:tcBorders>
            <w:shd w:val="clear" w:color="000000" w:fill="F2F2F2"/>
            <w:noWrap/>
            <w:vAlign w:val="center"/>
            <w:hideMark/>
          </w:tcPr>
          <w:p w14:paraId="4638E0F6" w14:textId="02A905B6" w:rsidR="000559D8" w:rsidRPr="00627DA0" w:rsidRDefault="000559D8" w:rsidP="000559D8">
            <w:pPr>
              <w:spacing w:after="0" w:line="240" w:lineRule="auto"/>
              <w:jc w:val="right"/>
              <w:rPr>
                <w:rFonts w:eastAsia="Times New Roman" w:cs="Calibri Light"/>
                <w:b/>
                <w:bCs/>
                <w:color w:val="000000"/>
                <w:sz w:val="20"/>
                <w:szCs w:val="20"/>
              </w:rPr>
            </w:pPr>
            <w:r w:rsidRPr="00627DA0">
              <w:rPr>
                <w:rFonts w:cs="Calibri"/>
                <w:b/>
                <w:bCs/>
                <w:color w:val="000000"/>
                <w:sz w:val="20"/>
                <w:szCs w:val="20"/>
              </w:rPr>
              <w:t>2,763</w:t>
            </w:r>
          </w:p>
        </w:tc>
        <w:tc>
          <w:tcPr>
            <w:tcW w:w="1256" w:type="dxa"/>
            <w:tcBorders>
              <w:top w:val="single" w:sz="8" w:space="0" w:color="auto"/>
              <w:left w:val="nil"/>
              <w:bottom w:val="single" w:sz="12" w:space="0" w:color="auto"/>
              <w:right w:val="nil"/>
            </w:tcBorders>
            <w:shd w:val="clear" w:color="000000" w:fill="F2F2F2"/>
            <w:noWrap/>
            <w:vAlign w:val="center"/>
            <w:hideMark/>
          </w:tcPr>
          <w:p w14:paraId="0F1B1197" w14:textId="02DF7111" w:rsidR="000559D8" w:rsidRPr="00627DA0" w:rsidRDefault="000559D8" w:rsidP="000559D8">
            <w:pPr>
              <w:spacing w:after="0" w:line="240" w:lineRule="auto"/>
              <w:jc w:val="right"/>
              <w:rPr>
                <w:rFonts w:eastAsia="Times New Roman" w:cs="Calibri Light"/>
                <w:b/>
                <w:bCs/>
                <w:color w:val="000000"/>
                <w:sz w:val="20"/>
                <w:szCs w:val="20"/>
              </w:rPr>
            </w:pPr>
            <w:r w:rsidRPr="00627DA0">
              <w:rPr>
                <w:rFonts w:cs="Calibri"/>
                <w:b/>
                <w:bCs/>
                <w:color w:val="000000"/>
                <w:sz w:val="20"/>
                <w:szCs w:val="20"/>
              </w:rPr>
              <w:t>10,258</w:t>
            </w:r>
          </w:p>
        </w:tc>
      </w:tr>
    </w:tbl>
    <w:p w14:paraId="44250F0E" w14:textId="1979EC9B" w:rsidR="007B630C" w:rsidRPr="00627DA0" w:rsidRDefault="007B630C" w:rsidP="007B630C"/>
    <w:p w14:paraId="78404477" w14:textId="0C9E8406" w:rsidR="006E3201" w:rsidRPr="00627DA0" w:rsidRDefault="008D7D9B" w:rsidP="008D7D9B">
      <w:pPr>
        <w:pStyle w:val="Caption"/>
      </w:pPr>
      <w:bookmarkStart w:id="177" w:name="_Toc207870751"/>
      <w:r w:rsidRPr="00627DA0">
        <w:t xml:space="preserve">Table </w:t>
      </w:r>
      <w:fldSimple w:instr=" SEQ Table \* ARABIC ">
        <w:r w:rsidR="00431297" w:rsidRPr="00627DA0">
          <w:t>22</w:t>
        </w:r>
      </w:fldSimple>
      <w:r w:rsidRPr="00627DA0">
        <w:t xml:space="preserve">: </w:t>
      </w:r>
      <w:r w:rsidR="00625D25" w:rsidRPr="00627DA0">
        <w:t xml:space="preserve">Cost-Effective </w:t>
      </w:r>
      <w:r w:rsidR="00C558E1" w:rsidRPr="00627DA0">
        <w:t xml:space="preserve">Utility </w:t>
      </w:r>
      <w:r w:rsidRPr="00627DA0">
        <w:t>Distribution Efficiency by End Use (MW</w:t>
      </w:r>
      <w:r w:rsidR="00EA6090" w:rsidRPr="00627DA0">
        <w:t>h</w:t>
      </w:r>
      <w:r w:rsidRPr="00627DA0">
        <w:t>)</w:t>
      </w:r>
      <w:bookmarkEnd w:id="177"/>
    </w:p>
    <w:tbl>
      <w:tblPr>
        <w:tblW w:w="8520" w:type="dxa"/>
        <w:jc w:val="center"/>
        <w:tblLook w:val="04A0" w:firstRow="1" w:lastRow="0" w:firstColumn="1" w:lastColumn="0" w:noHBand="0" w:noVBand="1"/>
      </w:tblPr>
      <w:tblGrid>
        <w:gridCol w:w="3536"/>
        <w:gridCol w:w="1176"/>
        <w:gridCol w:w="1296"/>
        <w:gridCol w:w="1256"/>
        <w:gridCol w:w="1256"/>
      </w:tblGrid>
      <w:tr w:rsidR="00807155" w:rsidRPr="00627DA0" w14:paraId="095B65B7" w14:textId="77777777" w:rsidTr="002863E1">
        <w:trPr>
          <w:trHeight w:val="330"/>
          <w:jc w:val="center"/>
        </w:trPr>
        <w:tc>
          <w:tcPr>
            <w:tcW w:w="3536" w:type="dxa"/>
            <w:tcBorders>
              <w:top w:val="single" w:sz="12" w:space="0" w:color="auto"/>
              <w:left w:val="nil"/>
              <w:bottom w:val="single" w:sz="12" w:space="0" w:color="auto"/>
              <w:right w:val="nil"/>
            </w:tcBorders>
            <w:shd w:val="clear" w:color="000000" w:fill="002C7C"/>
            <w:noWrap/>
            <w:vAlign w:val="center"/>
            <w:hideMark/>
          </w:tcPr>
          <w:p w14:paraId="4411AE2F" w14:textId="77777777" w:rsidR="00807155" w:rsidRPr="00627DA0" w:rsidRDefault="00807155" w:rsidP="00807155">
            <w:pPr>
              <w:spacing w:after="0" w:line="240" w:lineRule="auto"/>
              <w:jc w:val="left"/>
              <w:rPr>
                <w:rFonts w:eastAsia="Times New Roman" w:cs="Calibri Light"/>
                <w:b/>
                <w:bCs/>
                <w:color w:val="FFFFFF"/>
                <w:sz w:val="20"/>
                <w:szCs w:val="20"/>
              </w:rPr>
            </w:pPr>
            <w:r w:rsidRPr="00627DA0">
              <w:rPr>
                <w:rFonts w:eastAsia="Times New Roman" w:cs="Calibri Light"/>
                <w:b/>
                <w:bCs/>
                <w:color w:val="FFFFFF"/>
                <w:sz w:val="20"/>
                <w:szCs w:val="20"/>
              </w:rPr>
              <w:t>End Use</w:t>
            </w:r>
          </w:p>
        </w:tc>
        <w:tc>
          <w:tcPr>
            <w:tcW w:w="1176" w:type="dxa"/>
            <w:tcBorders>
              <w:top w:val="single" w:sz="12" w:space="0" w:color="auto"/>
              <w:left w:val="nil"/>
              <w:bottom w:val="single" w:sz="12" w:space="0" w:color="auto"/>
              <w:right w:val="nil"/>
            </w:tcBorders>
            <w:shd w:val="clear" w:color="000000" w:fill="002C7C"/>
            <w:noWrap/>
            <w:vAlign w:val="center"/>
            <w:hideMark/>
          </w:tcPr>
          <w:p w14:paraId="7554184A" w14:textId="10F42806" w:rsidR="00807155" w:rsidRPr="00627DA0" w:rsidRDefault="00807155" w:rsidP="00807155">
            <w:pPr>
              <w:spacing w:after="0" w:line="240" w:lineRule="auto"/>
              <w:jc w:val="right"/>
              <w:rPr>
                <w:rFonts w:eastAsia="Times New Roman" w:cs="Calibri Light"/>
                <w:b/>
                <w:bCs/>
                <w:color w:val="FFFFFF"/>
                <w:sz w:val="20"/>
                <w:szCs w:val="20"/>
              </w:rPr>
            </w:pPr>
            <w:r w:rsidRPr="00627DA0">
              <w:rPr>
                <w:rFonts w:cs="Calibri"/>
                <w:b/>
                <w:bCs/>
                <w:color w:val="FFFFFF"/>
                <w:sz w:val="20"/>
                <w:szCs w:val="20"/>
              </w:rPr>
              <w:t>2-Year</w:t>
            </w:r>
          </w:p>
        </w:tc>
        <w:tc>
          <w:tcPr>
            <w:tcW w:w="1296" w:type="dxa"/>
            <w:tcBorders>
              <w:top w:val="single" w:sz="12" w:space="0" w:color="auto"/>
              <w:left w:val="nil"/>
              <w:bottom w:val="single" w:sz="12" w:space="0" w:color="auto"/>
              <w:right w:val="nil"/>
            </w:tcBorders>
            <w:shd w:val="clear" w:color="000000" w:fill="002C7C"/>
            <w:noWrap/>
            <w:vAlign w:val="center"/>
            <w:hideMark/>
          </w:tcPr>
          <w:p w14:paraId="3634B935" w14:textId="5CBD3F10" w:rsidR="00807155" w:rsidRPr="00627DA0" w:rsidRDefault="00807155" w:rsidP="00807155">
            <w:pPr>
              <w:spacing w:after="0" w:line="240" w:lineRule="auto"/>
              <w:jc w:val="right"/>
              <w:rPr>
                <w:rFonts w:eastAsia="Times New Roman" w:cs="Calibri Light"/>
                <w:b/>
                <w:bCs/>
                <w:color w:val="FFFFFF"/>
                <w:sz w:val="20"/>
                <w:szCs w:val="20"/>
              </w:rPr>
            </w:pPr>
            <w:r w:rsidRPr="00627DA0">
              <w:rPr>
                <w:rFonts w:cs="Calibri"/>
                <w:b/>
                <w:bCs/>
                <w:color w:val="FFFFFF"/>
                <w:sz w:val="20"/>
                <w:szCs w:val="20"/>
              </w:rPr>
              <w:t>4-Year</w:t>
            </w:r>
          </w:p>
        </w:tc>
        <w:tc>
          <w:tcPr>
            <w:tcW w:w="1256" w:type="dxa"/>
            <w:tcBorders>
              <w:top w:val="single" w:sz="12" w:space="0" w:color="auto"/>
              <w:left w:val="nil"/>
              <w:bottom w:val="single" w:sz="12" w:space="0" w:color="auto"/>
              <w:right w:val="nil"/>
            </w:tcBorders>
            <w:shd w:val="clear" w:color="000000" w:fill="002C7C"/>
            <w:noWrap/>
            <w:vAlign w:val="center"/>
            <w:hideMark/>
          </w:tcPr>
          <w:p w14:paraId="1FB1F681" w14:textId="40A1159D" w:rsidR="00807155" w:rsidRPr="00627DA0" w:rsidRDefault="00807155" w:rsidP="00807155">
            <w:pPr>
              <w:spacing w:after="0" w:line="240" w:lineRule="auto"/>
              <w:jc w:val="right"/>
              <w:rPr>
                <w:rFonts w:eastAsia="Times New Roman" w:cs="Calibri Light"/>
                <w:b/>
                <w:bCs/>
                <w:color w:val="FFFFFF"/>
                <w:sz w:val="20"/>
                <w:szCs w:val="20"/>
              </w:rPr>
            </w:pPr>
            <w:r w:rsidRPr="00627DA0">
              <w:rPr>
                <w:rFonts w:cs="Calibri"/>
                <w:b/>
                <w:bCs/>
                <w:color w:val="FFFFFF"/>
                <w:sz w:val="20"/>
                <w:szCs w:val="20"/>
              </w:rPr>
              <w:t>10-Year</w:t>
            </w:r>
          </w:p>
        </w:tc>
        <w:tc>
          <w:tcPr>
            <w:tcW w:w="1256" w:type="dxa"/>
            <w:tcBorders>
              <w:top w:val="single" w:sz="12" w:space="0" w:color="auto"/>
              <w:left w:val="nil"/>
              <w:bottom w:val="single" w:sz="12" w:space="0" w:color="auto"/>
              <w:right w:val="nil"/>
            </w:tcBorders>
            <w:shd w:val="clear" w:color="000000" w:fill="002C7C"/>
            <w:noWrap/>
            <w:vAlign w:val="center"/>
            <w:hideMark/>
          </w:tcPr>
          <w:p w14:paraId="094A7AF3" w14:textId="3260AE67" w:rsidR="00807155" w:rsidRPr="00627DA0" w:rsidRDefault="00807155" w:rsidP="00807155">
            <w:pPr>
              <w:spacing w:after="0" w:line="240" w:lineRule="auto"/>
              <w:jc w:val="right"/>
              <w:rPr>
                <w:rFonts w:eastAsia="Times New Roman" w:cs="Calibri Light"/>
                <w:b/>
                <w:bCs/>
                <w:color w:val="FFFFFF"/>
                <w:sz w:val="20"/>
                <w:szCs w:val="20"/>
              </w:rPr>
            </w:pPr>
            <w:r w:rsidRPr="00627DA0">
              <w:rPr>
                <w:rFonts w:cs="Calibri"/>
                <w:b/>
                <w:bCs/>
                <w:color w:val="FFFFFF"/>
                <w:sz w:val="20"/>
                <w:szCs w:val="20"/>
              </w:rPr>
              <w:t>20-Year</w:t>
            </w:r>
          </w:p>
        </w:tc>
      </w:tr>
      <w:tr w:rsidR="00646EFE" w:rsidRPr="00627DA0" w14:paraId="4EF62D65" w14:textId="77777777" w:rsidTr="00646EFE">
        <w:trPr>
          <w:trHeight w:val="315"/>
          <w:jc w:val="center"/>
        </w:trPr>
        <w:tc>
          <w:tcPr>
            <w:tcW w:w="3536" w:type="dxa"/>
            <w:tcBorders>
              <w:top w:val="nil"/>
              <w:left w:val="nil"/>
              <w:bottom w:val="nil"/>
              <w:right w:val="nil"/>
            </w:tcBorders>
            <w:shd w:val="clear" w:color="000000" w:fill="F2F2F2"/>
            <w:noWrap/>
            <w:vAlign w:val="bottom"/>
            <w:hideMark/>
          </w:tcPr>
          <w:p w14:paraId="1259E21E" w14:textId="0205E1E4" w:rsidR="00646EFE" w:rsidRPr="00627DA0" w:rsidRDefault="00646EFE" w:rsidP="00646EFE">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LDC with no VVO</w:t>
            </w:r>
          </w:p>
        </w:tc>
        <w:tc>
          <w:tcPr>
            <w:tcW w:w="1176" w:type="dxa"/>
            <w:tcBorders>
              <w:top w:val="nil"/>
              <w:left w:val="nil"/>
              <w:bottom w:val="nil"/>
              <w:right w:val="nil"/>
            </w:tcBorders>
            <w:shd w:val="clear" w:color="000000" w:fill="F2F2F2"/>
            <w:noWrap/>
            <w:vAlign w:val="center"/>
            <w:hideMark/>
          </w:tcPr>
          <w:p w14:paraId="1D445B10" w14:textId="1F8EB46C"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23</w:t>
            </w:r>
          </w:p>
        </w:tc>
        <w:tc>
          <w:tcPr>
            <w:tcW w:w="1296" w:type="dxa"/>
            <w:tcBorders>
              <w:top w:val="nil"/>
              <w:left w:val="nil"/>
              <w:bottom w:val="nil"/>
              <w:right w:val="nil"/>
            </w:tcBorders>
            <w:shd w:val="clear" w:color="000000" w:fill="F2F2F2"/>
            <w:noWrap/>
            <w:vAlign w:val="center"/>
            <w:hideMark/>
          </w:tcPr>
          <w:p w14:paraId="62663732" w14:textId="2F0164AF"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93</w:t>
            </w:r>
          </w:p>
        </w:tc>
        <w:tc>
          <w:tcPr>
            <w:tcW w:w="1256" w:type="dxa"/>
            <w:tcBorders>
              <w:top w:val="nil"/>
              <w:left w:val="nil"/>
              <w:bottom w:val="nil"/>
              <w:right w:val="nil"/>
            </w:tcBorders>
            <w:shd w:val="clear" w:color="000000" w:fill="F2F2F2"/>
            <w:noWrap/>
            <w:vAlign w:val="center"/>
            <w:hideMark/>
          </w:tcPr>
          <w:p w14:paraId="066076D3" w14:textId="4D1B0110"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999</w:t>
            </w:r>
          </w:p>
        </w:tc>
        <w:tc>
          <w:tcPr>
            <w:tcW w:w="1256" w:type="dxa"/>
            <w:tcBorders>
              <w:top w:val="nil"/>
              <w:left w:val="nil"/>
              <w:bottom w:val="nil"/>
              <w:right w:val="nil"/>
            </w:tcBorders>
            <w:shd w:val="clear" w:color="000000" w:fill="F2F2F2"/>
            <w:noWrap/>
            <w:vAlign w:val="center"/>
            <w:hideMark/>
          </w:tcPr>
          <w:p w14:paraId="3DBB2138" w14:textId="6CBDFB8B"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2,941</w:t>
            </w:r>
          </w:p>
        </w:tc>
      </w:tr>
      <w:tr w:rsidR="00646EFE" w:rsidRPr="00627DA0" w14:paraId="2E75E36B" w14:textId="77777777" w:rsidTr="00646EFE">
        <w:trPr>
          <w:trHeight w:val="315"/>
          <w:jc w:val="center"/>
        </w:trPr>
        <w:tc>
          <w:tcPr>
            <w:tcW w:w="3536" w:type="dxa"/>
            <w:tcBorders>
              <w:top w:val="nil"/>
              <w:left w:val="nil"/>
              <w:bottom w:val="nil"/>
              <w:right w:val="nil"/>
            </w:tcBorders>
            <w:noWrap/>
            <w:vAlign w:val="bottom"/>
            <w:hideMark/>
          </w:tcPr>
          <w:p w14:paraId="5538638B" w14:textId="28FED707" w:rsidR="00646EFE" w:rsidRPr="00627DA0" w:rsidRDefault="00646EFE" w:rsidP="00646EFE">
            <w:pPr>
              <w:spacing w:after="0" w:line="240" w:lineRule="auto"/>
              <w:jc w:val="left"/>
              <w:rPr>
                <w:rFonts w:eastAsia="Times New Roman" w:cs="Calibri Light"/>
                <w:color w:val="000000"/>
                <w:sz w:val="20"/>
                <w:szCs w:val="20"/>
              </w:rPr>
            </w:pPr>
            <w:r w:rsidRPr="00627DA0">
              <w:rPr>
                <w:rFonts w:eastAsia="Times New Roman" w:cs="Calibri Light"/>
                <w:color w:val="000000"/>
                <w:sz w:val="20"/>
                <w:szCs w:val="20"/>
              </w:rPr>
              <w:t>LDC with VVO &amp; AMI</w:t>
            </w:r>
          </w:p>
        </w:tc>
        <w:tc>
          <w:tcPr>
            <w:tcW w:w="1176" w:type="dxa"/>
            <w:tcBorders>
              <w:top w:val="nil"/>
              <w:left w:val="nil"/>
              <w:bottom w:val="nil"/>
              <w:right w:val="nil"/>
            </w:tcBorders>
            <w:noWrap/>
            <w:vAlign w:val="center"/>
            <w:hideMark/>
          </w:tcPr>
          <w:p w14:paraId="6F4F9BE4" w14:textId="629110B9"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92</w:t>
            </w:r>
          </w:p>
        </w:tc>
        <w:tc>
          <w:tcPr>
            <w:tcW w:w="1296" w:type="dxa"/>
            <w:tcBorders>
              <w:top w:val="nil"/>
              <w:left w:val="nil"/>
              <w:bottom w:val="nil"/>
              <w:right w:val="nil"/>
            </w:tcBorders>
            <w:shd w:val="clear" w:color="000000" w:fill="FFFFFF"/>
            <w:noWrap/>
            <w:vAlign w:val="center"/>
            <w:hideMark/>
          </w:tcPr>
          <w:p w14:paraId="5C1C7635" w14:textId="6E9DCF23"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378</w:t>
            </w:r>
          </w:p>
        </w:tc>
        <w:tc>
          <w:tcPr>
            <w:tcW w:w="1256" w:type="dxa"/>
            <w:tcBorders>
              <w:top w:val="nil"/>
              <w:left w:val="nil"/>
              <w:bottom w:val="nil"/>
              <w:right w:val="nil"/>
            </w:tcBorders>
            <w:shd w:val="clear" w:color="000000" w:fill="FFFFFF"/>
            <w:noWrap/>
            <w:vAlign w:val="center"/>
            <w:hideMark/>
          </w:tcPr>
          <w:p w14:paraId="4AEFBD2C" w14:textId="6FF63630"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4,064</w:t>
            </w:r>
          </w:p>
        </w:tc>
        <w:tc>
          <w:tcPr>
            <w:tcW w:w="1256" w:type="dxa"/>
            <w:tcBorders>
              <w:top w:val="nil"/>
              <w:left w:val="nil"/>
              <w:bottom w:val="nil"/>
              <w:right w:val="nil"/>
            </w:tcBorders>
            <w:shd w:val="clear" w:color="000000" w:fill="FFFFFF"/>
            <w:noWrap/>
            <w:vAlign w:val="center"/>
            <w:hideMark/>
          </w:tcPr>
          <w:p w14:paraId="6A392CBB" w14:textId="67D8C4F1" w:rsidR="00646EFE" w:rsidRPr="00627DA0" w:rsidRDefault="00646EFE" w:rsidP="00646EFE">
            <w:pPr>
              <w:spacing w:after="0" w:line="240" w:lineRule="auto"/>
              <w:jc w:val="right"/>
              <w:rPr>
                <w:rFonts w:eastAsia="Times New Roman" w:cs="Calibri Light"/>
                <w:color w:val="000000"/>
                <w:sz w:val="20"/>
                <w:szCs w:val="20"/>
              </w:rPr>
            </w:pPr>
            <w:r w:rsidRPr="00627DA0">
              <w:rPr>
                <w:rFonts w:cs="Calibri"/>
                <w:color w:val="000000"/>
                <w:sz w:val="20"/>
                <w:szCs w:val="20"/>
              </w:rPr>
              <w:t>11,966</w:t>
            </w:r>
          </w:p>
        </w:tc>
      </w:tr>
      <w:tr w:rsidR="00646EFE" w:rsidRPr="00627DA0" w14:paraId="7B553E89" w14:textId="77777777" w:rsidTr="00646EFE">
        <w:trPr>
          <w:trHeight w:val="315"/>
          <w:jc w:val="center"/>
        </w:trPr>
        <w:tc>
          <w:tcPr>
            <w:tcW w:w="3536" w:type="dxa"/>
            <w:tcBorders>
              <w:top w:val="single" w:sz="8" w:space="0" w:color="auto"/>
              <w:left w:val="nil"/>
              <w:bottom w:val="single" w:sz="12" w:space="0" w:color="auto"/>
              <w:right w:val="nil"/>
            </w:tcBorders>
            <w:shd w:val="clear" w:color="000000" w:fill="F2F2F2"/>
            <w:noWrap/>
            <w:vAlign w:val="center"/>
            <w:hideMark/>
          </w:tcPr>
          <w:p w14:paraId="7BA23F68" w14:textId="77777777" w:rsidR="00646EFE" w:rsidRPr="00627DA0" w:rsidRDefault="00646EFE" w:rsidP="00646EFE">
            <w:pPr>
              <w:spacing w:after="0" w:line="240" w:lineRule="auto"/>
              <w:jc w:val="left"/>
              <w:rPr>
                <w:rFonts w:eastAsia="Times New Roman" w:cs="Calibri Light"/>
                <w:b/>
                <w:bCs/>
                <w:color w:val="000000"/>
                <w:sz w:val="20"/>
                <w:szCs w:val="20"/>
              </w:rPr>
            </w:pPr>
            <w:r w:rsidRPr="00627DA0">
              <w:rPr>
                <w:rFonts w:eastAsia="Times New Roman" w:cs="Calibri Light"/>
                <w:b/>
                <w:bCs/>
                <w:color w:val="000000"/>
                <w:sz w:val="20"/>
                <w:szCs w:val="20"/>
              </w:rPr>
              <w:t>Total</w:t>
            </w:r>
          </w:p>
        </w:tc>
        <w:tc>
          <w:tcPr>
            <w:tcW w:w="1176" w:type="dxa"/>
            <w:tcBorders>
              <w:top w:val="single" w:sz="8" w:space="0" w:color="auto"/>
              <w:left w:val="nil"/>
              <w:bottom w:val="single" w:sz="12" w:space="0" w:color="auto"/>
              <w:right w:val="nil"/>
            </w:tcBorders>
            <w:shd w:val="clear" w:color="000000" w:fill="F2F2F2"/>
            <w:noWrap/>
            <w:vAlign w:val="center"/>
            <w:hideMark/>
          </w:tcPr>
          <w:p w14:paraId="1A677A2F" w14:textId="12E4D9EB" w:rsidR="00646EFE" w:rsidRPr="00627DA0" w:rsidRDefault="00646EFE" w:rsidP="00646EFE">
            <w:pPr>
              <w:spacing w:after="0" w:line="240" w:lineRule="auto"/>
              <w:jc w:val="right"/>
              <w:rPr>
                <w:rFonts w:eastAsia="Times New Roman" w:cs="Calibri Light"/>
                <w:b/>
                <w:bCs/>
                <w:color w:val="000000"/>
                <w:sz w:val="20"/>
                <w:szCs w:val="20"/>
              </w:rPr>
            </w:pPr>
            <w:r w:rsidRPr="00627DA0">
              <w:rPr>
                <w:rFonts w:cs="Calibri"/>
                <w:b/>
                <w:bCs/>
                <w:color w:val="000000"/>
                <w:sz w:val="20"/>
                <w:szCs w:val="20"/>
              </w:rPr>
              <w:t>115</w:t>
            </w:r>
          </w:p>
        </w:tc>
        <w:tc>
          <w:tcPr>
            <w:tcW w:w="1296" w:type="dxa"/>
            <w:tcBorders>
              <w:top w:val="single" w:sz="8" w:space="0" w:color="auto"/>
              <w:left w:val="nil"/>
              <w:bottom w:val="single" w:sz="12" w:space="0" w:color="auto"/>
              <w:right w:val="nil"/>
            </w:tcBorders>
            <w:shd w:val="clear" w:color="000000" w:fill="F2F2F2"/>
            <w:noWrap/>
            <w:vAlign w:val="center"/>
            <w:hideMark/>
          </w:tcPr>
          <w:p w14:paraId="0EC72B3A" w14:textId="4C680BA6" w:rsidR="00646EFE" w:rsidRPr="00627DA0" w:rsidRDefault="00646EFE" w:rsidP="00646EFE">
            <w:pPr>
              <w:spacing w:after="0" w:line="240" w:lineRule="auto"/>
              <w:jc w:val="right"/>
              <w:rPr>
                <w:rFonts w:eastAsia="Times New Roman" w:cs="Calibri Light"/>
                <w:b/>
                <w:bCs/>
                <w:color w:val="000000"/>
                <w:sz w:val="20"/>
                <w:szCs w:val="20"/>
              </w:rPr>
            </w:pPr>
            <w:r w:rsidRPr="00627DA0">
              <w:rPr>
                <w:rFonts w:cs="Calibri"/>
                <w:b/>
                <w:bCs/>
                <w:color w:val="000000"/>
                <w:sz w:val="20"/>
                <w:szCs w:val="20"/>
              </w:rPr>
              <w:t>471</w:t>
            </w:r>
          </w:p>
        </w:tc>
        <w:tc>
          <w:tcPr>
            <w:tcW w:w="1256" w:type="dxa"/>
            <w:tcBorders>
              <w:top w:val="single" w:sz="8" w:space="0" w:color="auto"/>
              <w:left w:val="nil"/>
              <w:bottom w:val="single" w:sz="12" w:space="0" w:color="auto"/>
              <w:right w:val="nil"/>
            </w:tcBorders>
            <w:shd w:val="clear" w:color="000000" w:fill="F2F2F2"/>
            <w:noWrap/>
            <w:vAlign w:val="center"/>
            <w:hideMark/>
          </w:tcPr>
          <w:p w14:paraId="09D214DC" w14:textId="150188CE" w:rsidR="00646EFE" w:rsidRPr="00627DA0" w:rsidRDefault="00646EFE" w:rsidP="00646EFE">
            <w:pPr>
              <w:spacing w:after="0" w:line="240" w:lineRule="auto"/>
              <w:jc w:val="right"/>
              <w:rPr>
                <w:rFonts w:eastAsia="Times New Roman" w:cs="Calibri Light"/>
                <w:b/>
                <w:bCs/>
                <w:color w:val="000000"/>
                <w:sz w:val="20"/>
                <w:szCs w:val="20"/>
              </w:rPr>
            </w:pPr>
            <w:r w:rsidRPr="00627DA0">
              <w:rPr>
                <w:rFonts w:cs="Calibri"/>
                <w:b/>
                <w:bCs/>
                <w:color w:val="000000"/>
                <w:sz w:val="20"/>
                <w:szCs w:val="20"/>
              </w:rPr>
              <w:t>5,063</w:t>
            </w:r>
          </w:p>
        </w:tc>
        <w:tc>
          <w:tcPr>
            <w:tcW w:w="1256" w:type="dxa"/>
            <w:tcBorders>
              <w:top w:val="single" w:sz="8" w:space="0" w:color="auto"/>
              <w:left w:val="nil"/>
              <w:bottom w:val="single" w:sz="12" w:space="0" w:color="auto"/>
              <w:right w:val="nil"/>
            </w:tcBorders>
            <w:shd w:val="clear" w:color="000000" w:fill="F2F2F2"/>
            <w:noWrap/>
            <w:vAlign w:val="center"/>
            <w:hideMark/>
          </w:tcPr>
          <w:p w14:paraId="5B76E5A8" w14:textId="0AAA4FED" w:rsidR="00646EFE" w:rsidRPr="00627DA0" w:rsidRDefault="00646EFE" w:rsidP="00646EFE">
            <w:pPr>
              <w:spacing w:after="0" w:line="240" w:lineRule="auto"/>
              <w:jc w:val="right"/>
              <w:rPr>
                <w:rFonts w:eastAsia="Times New Roman" w:cs="Calibri Light"/>
                <w:b/>
                <w:bCs/>
                <w:color w:val="000000"/>
                <w:sz w:val="20"/>
                <w:szCs w:val="20"/>
              </w:rPr>
            </w:pPr>
            <w:r w:rsidRPr="00627DA0">
              <w:rPr>
                <w:rFonts w:cs="Calibri"/>
                <w:b/>
                <w:bCs/>
                <w:color w:val="000000"/>
                <w:sz w:val="20"/>
                <w:szCs w:val="20"/>
              </w:rPr>
              <w:t>14,907</w:t>
            </w:r>
          </w:p>
        </w:tc>
      </w:tr>
    </w:tbl>
    <w:p w14:paraId="04C5577C" w14:textId="77777777" w:rsidR="00DE397A" w:rsidRPr="00627DA0" w:rsidRDefault="00DE397A"/>
    <w:p w14:paraId="164DDD3E" w14:textId="68ADA522" w:rsidR="00DE397A" w:rsidRPr="00627DA0" w:rsidRDefault="00DE397A" w:rsidP="00DE397A">
      <w:pPr>
        <w:pStyle w:val="Caption"/>
      </w:pPr>
      <w:bookmarkStart w:id="178" w:name="_Toc207870752"/>
      <w:r w:rsidRPr="00627DA0">
        <w:t xml:space="preserve">Table </w:t>
      </w:r>
      <w:fldSimple w:instr=" SEQ Table \* ARABIC ">
        <w:r w:rsidR="00431297" w:rsidRPr="00627DA0">
          <w:t>23</w:t>
        </w:r>
      </w:fldSimple>
      <w:r w:rsidRPr="00627DA0">
        <w:t>: Cost-Effective Agricultural Potential by End Use (MWh)</w:t>
      </w:r>
      <w:bookmarkEnd w:id="178"/>
    </w:p>
    <w:tbl>
      <w:tblPr>
        <w:tblW w:w="8524" w:type="dxa"/>
        <w:jc w:val="center"/>
        <w:tblLook w:val="04A0" w:firstRow="1" w:lastRow="0" w:firstColumn="1" w:lastColumn="0" w:noHBand="0" w:noVBand="1"/>
      </w:tblPr>
      <w:tblGrid>
        <w:gridCol w:w="3430"/>
        <w:gridCol w:w="1263"/>
        <w:gridCol w:w="1263"/>
        <w:gridCol w:w="1245"/>
        <w:gridCol w:w="1323"/>
      </w:tblGrid>
      <w:tr w:rsidR="004E539C" w:rsidRPr="00627DA0" w14:paraId="523E613B" w14:textId="77777777" w:rsidTr="004E539C">
        <w:trPr>
          <w:trHeight w:val="348"/>
          <w:jc w:val="center"/>
        </w:trPr>
        <w:tc>
          <w:tcPr>
            <w:tcW w:w="3430" w:type="dxa"/>
            <w:tcBorders>
              <w:top w:val="single" w:sz="12" w:space="0" w:color="auto"/>
              <w:left w:val="nil"/>
              <w:bottom w:val="single" w:sz="12" w:space="0" w:color="auto"/>
              <w:right w:val="nil"/>
            </w:tcBorders>
            <w:shd w:val="clear" w:color="000000" w:fill="002C7C"/>
            <w:noWrap/>
            <w:vAlign w:val="center"/>
            <w:hideMark/>
          </w:tcPr>
          <w:p w14:paraId="0D0E3C89" w14:textId="77777777" w:rsidR="00E6002B" w:rsidRPr="00627DA0" w:rsidRDefault="00E6002B" w:rsidP="00E6002B">
            <w:pPr>
              <w:spacing w:after="0" w:line="240" w:lineRule="auto"/>
              <w:rPr>
                <w:rFonts w:eastAsia="Times New Roman" w:cs="Calibri"/>
                <w:b/>
                <w:bCs/>
                <w:color w:val="FFFFFF"/>
                <w:sz w:val="20"/>
                <w:szCs w:val="20"/>
              </w:rPr>
            </w:pPr>
            <w:r w:rsidRPr="00627DA0">
              <w:rPr>
                <w:rFonts w:eastAsia="Times New Roman" w:cs="Calibri"/>
                <w:b/>
                <w:bCs/>
                <w:color w:val="FFFFFF"/>
                <w:sz w:val="20"/>
                <w:szCs w:val="20"/>
              </w:rPr>
              <w:t>End Use</w:t>
            </w:r>
          </w:p>
        </w:tc>
        <w:tc>
          <w:tcPr>
            <w:tcW w:w="1263" w:type="dxa"/>
            <w:tcBorders>
              <w:top w:val="single" w:sz="12" w:space="0" w:color="auto"/>
              <w:left w:val="nil"/>
              <w:bottom w:val="single" w:sz="12" w:space="0" w:color="auto"/>
              <w:right w:val="nil"/>
            </w:tcBorders>
            <w:shd w:val="clear" w:color="000000" w:fill="002C7C"/>
            <w:noWrap/>
            <w:vAlign w:val="center"/>
            <w:hideMark/>
          </w:tcPr>
          <w:p w14:paraId="7634FFF9" w14:textId="77777777" w:rsidR="00E6002B" w:rsidRPr="00627DA0" w:rsidRDefault="00E6002B" w:rsidP="00E6002B">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2-Year</w:t>
            </w:r>
          </w:p>
        </w:tc>
        <w:tc>
          <w:tcPr>
            <w:tcW w:w="1263" w:type="dxa"/>
            <w:tcBorders>
              <w:top w:val="single" w:sz="12" w:space="0" w:color="auto"/>
              <w:left w:val="nil"/>
              <w:bottom w:val="single" w:sz="12" w:space="0" w:color="auto"/>
              <w:right w:val="nil"/>
            </w:tcBorders>
            <w:shd w:val="clear" w:color="000000" w:fill="002C7C"/>
            <w:noWrap/>
            <w:vAlign w:val="center"/>
            <w:hideMark/>
          </w:tcPr>
          <w:p w14:paraId="6A4CFA1A" w14:textId="77777777" w:rsidR="00E6002B" w:rsidRPr="00627DA0" w:rsidRDefault="00E6002B" w:rsidP="00E6002B">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4-Year</w:t>
            </w:r>
          </w:p>
        </w:tc>
        <w:tc>
          <w:tcPr>
            <w:tcW w:w="1245" w:type="dxa"/>
            <w:tcBorders>
              <w:top w:val="single" w:sz="12" w:space="0" w:color="auto"/>
              <w:left w:val="nil"/>
              <w:bottom w:val="single" w:sz="12" w:space="0" w:color="auto"/>
              <w:right w:val="nil"/>
            </w:tcBorders>
            <w:shd w:val="clear" w:color="000000" w:fill="002C7C"/>
            <w:noWrap/>
            <w:vAlign w:val="center"/>
            <w:hideMark/>
          </w:tcPr>
          <w:p w14:paraId="2623A105" w14:textId="77777777" w:rsidR="00E6002B" w:rsidRPr="00627DA0" w:rsidRDefault="00E6002B" w:rsidP="00E6002B">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10-Year</w:t>
            </w:r>
          </w:p>
        </w:tc>
        <w:tc>
          <w:tcPr>
            <w:tcW w:w="1323" w:type="dxa"/>
            <w:tcBorders>
              <w:top w:val="single" w:sz="12" w:space="0" w:color="auto"/>
              <w:left w:val="nil"/>
              <w:bottom w:val="single" w:sz="12" w:space="0" w:color="auto"/>
              <w:right w:val="nil"/>
            </w:tcBorders>
            <w:shd w:val="clear" w:color="000000" w:fill="002C7C"/>
            <w:noWrap/>
            <w:vAlign w:val="center"/>
            <w:hideMark/>
          </w:tcPr>
          <w:p w14:paraId="3FE51409" w14:textId="77777777" w:rsidR="00E6002B" w:rsidRPr="00627DA0" w:rsidRDefault="00E6002B" w:rsidP="00E6002B">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20-Year</w:t>
            </w:r>
          </w:p>
        </w:tc>
      </w:tr>
      <w:tr w:rsidR="00646EFE" w:rsidRPr="00627DA0" w14:paraId="42971CC0" w14:textId="77777777" w:rsidTr="00646EFE">
        <w:trPr>
          <w:trHeight w:val="332"/>
          <w:jc w:val="center"/>
        </w:trPr>
        <w:tc>
          <w:tcPr>
            <w:tcW w:w="3430" w:type="dxa"/>
            <w:tcBorders>
              <w:top w:val="nil"/>
              <w:left w:val="nil"/>
              <w:bottom w:val="nil"/>
              <w:right w:val="nil"/>
            </w:tcBorders>
            <w:noWrap/>
            <w:vAlign w:val="center"/>
            <w:hideMark/>
          </w:tcPr>
          <w:p w14:paraId="3E24E49B" w14:textId="77777777" w:rsidR="00646EFE" w:rsidRPr="00627DA0" w:rsidRDefault="00646EFE" w:rsidP="00646EFE">
            <w:pPr>
              <w:spacing w:after="0" w:line="240" w:lineRule="auto"/>
              <w:jc w:val="left"/>
              <w:rPr>
                <w:rFonts w:eastAsia="Times New Roman" w:cs="Calibri"/>
                <w:color w:val="000000"/>
                <w:sz w:val="20"/>
                <w:szCs w:val="20"/>
              </w:rPr>
            </w:pPr>
            <w:r w:rsidRPr="00627DA0">
              <w:rPr>
                <w:rFonts w:eastAsia="Times New Roman" w:cs="Calibri"/>
                <w:color w:val="000000"/>
                <w:sz w:val="20"/>
                <w:szCs w:val="20"/>
              </w:rPr>
              <w:t>Irrigation</w:t>
            </w:r>
          </w:p>
        </w:tc>
        <w:tc>
          <w:tcPr>
            <w:tcW w:w="1263" w:type="dxa"/>
            <w:tcBorders>
              <w:top w:val="nil"/>
              <w:left w:val="nil"/>
              <w:bottom w:val="nil"/>
              <w:right w:val="nil"/>
            </w:tcBorders>
            <w:noWrap/>
            <w:vAlign w:val="center"/>
            <w:hideMark/>
          </w:tcPr>
          <w:p w14:paraId="2862F5C9" w14:textId="19192A1F"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62</w:t>
            </w:r>
          </w:p>
        </w:tc>
        <w:tc>
          <w:tcPr>
            <w:tcW w:w="1263" w:type="dxa"/>
            <w:tcBorders>
              <w:top w:val="nil"/>
              <w:left w:val="nil"/>
              <w:bottom w:val="nil"/>
              <w:right w:val="nil"/>
            </w:tcBorders>
            <w:noWrap/>
            <w:vAlign w:val="center"/>
            <w:hideMark/>
          </w:tcPr>
          <w:p w14:paraId="777BF3F0" w14:textId="217DFF84"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200</w:t>
            </w:r>
          </w:p>
        </w:tc>
        <w:tc>
          <w:tcPr>
            <w:tcW w:w="1245" w:type="dxa"/>
            <w:tcBorders>
              <w:top w:val="nil"/>
              <w:left w:val="nil"/>
              <w:bottom w:val="nil"/>
              <w:right w:val="nil"/>
            </w:tcBorders>
            <w:noWrap/>
            <w:vAlign w:val="center"/>
            <w:hideMark/>
          </w:tcPr>
          <w:p w14:paraId="694A28CF" w14:textId="5DE88AC4"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1,268</w:t>
            </w:r>
          </w:p>
        </w:tc>
        <w:tc>
          <w:tcPr>
            <w:tcW w:w="1323" w:type="dxa"/>
            <w:tcBorders>
              <w:top w:val="nil"/>
              <w:left w:val="nil"/>
              <w:bottom w:val="nil"/>
              <w:right w:val="nil"/>
            </w:tcBorders>
            <w:noWrap/>
            <w:vAlign w:val="center"/>
            <w:hideMark/>
          </w:tcPr>
          <w:p w14:paraId="5D0C7952" w14:textId="1D968391"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2,305</w:t>
            </w:r>
          </w:p>
        </w:tc>
      </w:tr>
      <w:tr w:rsidR="00646EFE" w:rsidRPr="00627DA0" w14:paraId="79B18876" w14:textId="77777777" w:rsidTr="00646EFE">
        <w:trPr>
          <w:trHeight w:val="318"/>
          <w:jc w:val="center"/>
        </w:trPr>
        <w:tc>
          <w:tcPr>
            <w:tcW w:w="3430" w:type="dxa"/>
            <w:tcBorders>
              <w:top w:val="nil"/>
              <w:left w:val="nil"/>
              <w:bottom w:val="nil"/>
              <w:right w:val="nil"/>
            </w:tcBorders>
            <w:shd w:val="clear" w:color="auto" w:fill="F2F2F2" w:themeFill="background1" w:themeFillShade="F2"/>
            <w:noWrap/>
            <w:vAlign w:val="center"/>
            <w:hideMark/>
          </w:tcPr>
          <w:p w14:paraId="3A36C30C" w14:textId="77777777" w:rsidR="00646EFE" w:rsidRPr="00627DA0" w:rsidRDefault="00646EFE" w:rsidP="00646EFE">
            <w:pPr>
              <w:spacing w:after="0" w:line="240" w:lineRule="auto"/>
              <w:jc w:val="left"/>
              <w:rPr>
                <w:rFonts w:eastAsia="Times New Roman" w:cs="Calibri"/>
                <w:color w:val="000000"/>
                <w:sz w:val="20"/>
                <w:szCs w:val="20"/>
              </w:rPr>
            </w:pPr>
            <w:r w:rsidRPr="00627DA0">
              <w:rPr>
                <w:rFonts w:eastAsia="Times New Roman" w:cs="Calibri"/>
                <w:color w:val="000000"/>
                <w:sz w:val="20"/>
                <w:szCs w:val="20"/>
              </w:rPr>
              <w:t>Lighting</w:t>
            </w:r>
          </w:p>
        </w:tc>
        <w:tc>
          <w:tcPr>
            <w:tcW w:w="1263" w:type="dxa"/>
            <w:tcBorders>
              <w:top w:val="nil"/>
              <w:left w:val="nil"/>
              <w:bottom w:val="nil"/>
              <w:right w:val="nil"/>
            </w:tcBorders>
            <w:shd w:val="clear" w:color="auto" w:fill="F2F2F2" w:themeFill="background1" w:themeFillShade="F2"/>
            <w:noWrap/>
            <w:vAlign w:val="center"/>
            <w:hideMark/>
          </w:tcPr>
          <w:p w14:paraId="61E58045" w14:textId="2C281FAF" w:rsidR="00646EFE" w:rsidRPr="00627DA0" w:rsidRDefault="00646EFE" w:rsidP="00646EFE">
            <w:pPr>
              <w:spacing w:after="0" w:line="240" w:lineRule="auto"/>
              <w:jc w:val="right"/>
              <w:rPr>
                <w:rFonts w:cs="Calibri"/>
                <w:color w:val="000000"/>
                <w:sz w:val="20"/>
                <w:szCs w:val="20"/>
              </w:rPr>
            </w:pPr>
            <w:r w:rsidRPr="00627DA0">
              <w:rPr>
                <w:rFonts w:cs="Calibri"/>
                <w:color w:val="000000"/>
                <w:sz w:val="20"/>
                <w:szCs w:val="20"/>
              </w:rPr>
              <w:t>2</w:t>
            </w:r>
          </w:p>
        </w:tc>
        <w:tc>
          <w:tcPr>
            <w:tcW w:w="1263" w:type="dxa"/>
            <w:tcBorders>
              <w:top w:val="nil"/>
              <w:left w:val="nil"/>
              <w:bottom w:val="nil"/>
              <w:right w:val="nil"/>
            </w:tcBorders>
            <w:shd w:val="clear" w:color="auto" w:fill="F2F2F2" w:themeFill="background1" w:themeFillShade="F2"/>
            <w:noWrap/>
            <w:vAlign w:val="center"/>
            <w:hideMark/>
          </w:tcPr>
          <w:p w14:paraId="3C76B9E6" w14:textId="2D3C97F2"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8</w:t>
            </w:r>
          </w:p>
        </w:tc>
        <w:tc>
          <w:tcPr>
            <w:tcW w:w="1245" w:type="dxa"/>
            <w:tcBorders>
              <w:top w:val="nil"/>
              <w:left w:val="nil"/>
              <w:bottom w:val="nil"/>
              <w:right w:val="nil"/>
            </w:tcBorders>
            <w:shd w:val="clear" w:color="auto" w:fill="F2F2F2" w:themeFill="background1" w:themeFillShade="F2"/>
            <w:noWrap/>
            <w:vAlign w:val="center"/>
            <w:hideMark/>
          </w:tcPr>
          <w:p w14:paraId="31C6766F" w14:textId="2BA84077"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89</w:t>
            </w:r>
          </w:p>
        </w:tc>
        <w:tc>
          <w:tcPr>
            <w:tcW w:w="1323" w:type="dxa"/>
            <w:tcBorders>
              <w:top w:val="nil"/>
              <w:left w:val="nil"/>
              <w:bottom w:val="nil"/>
              <w:right w:val="nil"/>
            </w:tcBorders>
            <w:shd w:val="clear" w:color="auto" w:fill="F2F2F2" w:themeFill="background1" w:themeFillShade="F2"/>
            <w:noWrap/>
            <w:vAlign w:val="center"/>
            <w:hideMark/>
          </w:tcPr>
          <w:p w14:paraId="25BA5DE9" w14:textId="3E4D7C75"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473</w:t>
            </w:r>
          </w:p>
        </w:tc>
      </w:tr>
      <w:tr w:rsidR="00646EFE" w:rsidRPr="00627DA0" w14:paraId="72C0063E" w14:textId="77777777" w:rsidTr="00646EFE">
        <w:trPr>
          <w:trHeight w:val="318"/>
          <w:jc w:val="center"/>
        </w:trPr>
        <w:tc>
          <w:tcPr>
            <w:tcW w:w="3430" w:type="dxa"/>
            <w:tcBorders>
              <w:top w:val="nil"/>
              <w:left w:val="nil"/>
              <w:bottom w:val="nil"/>
              <w:right w:val="nil"/>
            </w:tcBorders>
            <w:noWrap/>
            <w:vAlign w:val="center"/>
            <w:hideMark/>
          </w:tcPr>
          <w:p w14:paraId="2ACD0863" w14:textId="77777777" w:rsidR="00646EFE" w:rsidRPr="00627DA0" w:rsidRDefault="00646EFE" w:rsidP="00646EFE">
            <w:pPr>
              <w:spacing w:after="0" w:line="240" w:lineRule="auto"/>
              <w:jc w:val="left"/>
              <w:rPr>
                <w:rFonts w:eastAsia="Times New Roman" w:cs="Calibri"/>
                <w:color w:val="000000"/>
                <w:sz w:val="20"/>
                <w:szCs w:val="20"/>
              </w:rPr>
            </w:pPr>
            <w:r w:rsidRPr="00627DA0">
              <w:rPr>
                <w:rFonts w:eastAsia="Times New Roman" w:cs="Calibri"/>
                <w:color w:val="000000"/>
                <w:sz w:val="20"/>
                <w:szCs w:val="20"/>
              </w:rPr>
              <w:t>Process Heating</w:t>
            </w:r>
          </w:p>
        </w:tc>
        <w:tc>
          <w:tcPr>
            <w:tcW w:w="1263" w:type="dxa"/>
            <w:tcBorders>
              <w:top w:val="nil"/>
              <w:left w:val="nil"/>
              <w:bottom w:val="nil"/>
              <w:right w:val="nil"/>
            </w:tcBorders>
            <w:noWrap/>
            <w:vAlign w:val="center"/>
            <w:hideMark/>
          </w:tcPr>
          <w:p w14:paraId="16C778A3" w14:textId="1AAA7C4D"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63" w:type="dxa"/>
            <w:tcBorders>
              <w:top w:val="nil"/>
              <w:left w:val="nil"/>
              <w:bottom w:val="nil"/>
              <w:right w:val="nil"/>
            </w:tcBorders>
            <w:noWrap/>
            <w:vAlign w:val="center"/>
            <w:hideMark/>
          </w:tcPr>
          <w:p w14:paraId="7D6BC14E" w14:textId="5C8CDC05"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45" w:type="dxa"/>
            <w:tcBorders>
              <w:top w:val="nil"/>
              <w:left w:val="nil"/>
              <w:bottom w:val="nil"/>
              <w:right w:val="nil"/>
            </w:tcBorders>
            <w:noWrap/>
            <w:vAlign w:val="center"/>
            <w:hideMark/>
          </w:tcPr>
          <w:p w14:paraId="29E3C11A" w14:textId="407553D8"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323" w:type="dxa"/>
            <w:tcBorders>
              <w:top w:val="nil"/>
              <w:left w:val="nil"/>
              <w:bottom w:val="nil"/>
              <w:right w:val="nil"/>
            </w:tcBorders>
            <w:noWrap/>
            <w:vAlign w:val="center"/>
            <w:hideMark/>
          </w:tcPr>
          <w:p w14:paraId="2173CE5A" w14:textId="54EE1164"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r>
      <w:tr w:rsidR="00646EFE" w:rsidRPr="00627DA0" w14:paraId="2C28FA12" w14:textId="77777777" w:rsidTr="00646EFE">
        <w:trPr>
          <w:trHeight w:val="318"/>
          <w:jc w:val="center"/>
        </w:trPr>
        <w:tc>
          <w:tcPr>
            <w:tcW w:w="3430" w:type="dxa"/>
            <w:tcBorders>
              <w:top w:val="nil"/>
              <w:left w:val="nil"/>
              <w:bottom w:val="nil"/>
              <w:right w:val="nil"/>
            </w:tcBorders>
            <w:shd w:val="clear" w:color="auto" w:fill="F2F2F2" w:themeFill="background1" w:themeFillShade="F2"/>
            <w:noWrap/>
            <w:vAlign w:val="center"/>
            <w:hideMark/>
          </w:tcPr>
          <w:p w14:paraId="4BBC7787" w14:textId="77777777" w:rsidR="00646EFE" w:rsidRPr="00627DA0" w:rsidRDefault="00646EFE" w:rsidP="00646EFE">
            <w:pPr>
              <w:spacing w:after="0" w:line="240" w:lineRule="auto"/>
              <w:jc w:val="left"/>
              <w:rPr>
                <w:rFonts w:eastAsia="Times New Roman" w:cs="Calibri"/>
                <w:color w:val="000000"/>
                <w:sz w:val="20"/>
                <w:szCs w:val="20"/>
              </w:rPr>
            </w:pPr>
            <w:r w:rsidRPr="00627DA0">
              <w:rPr>
                <w:rFonts w:eastAsia="Times New Roman" w:cs="Calibri"/>
                <w:color w:val="000000"/>
                <w:sz w:val="20"/>
                <w:szCs w:val="20"/>
              </w:rPr>
              <w:t>Refrigeration</w:t>
            </w:r>
          </w:p>
        </w:tc>
        <w:tc>
          <w:tcPr>
            <w:tcW w:w="1263" w:type="dxa"/>
            <w:tcBorders>
              <w:top w:val="nil"/>
              <w:left w:val="nil"/>
              <w:bottom w:val="nil"/>
              <w:right w:val="nil"/>
            </w:tcBorders>
            <w:shd w:val="clear" w:color="auto" w:fill="F2F2F2" w:themeFill="background1" w:themeFillShade="F2"/>
            <w:noWrap/>
            <w:vAlign w:val="center"/>
            <w:hideMark/>
          </w:tcPr>
          <w:p w14:paraId="18424B64" w14:textId="39B3B488"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63" w:type="dxa"/>
            <w:tcBorders>
              <w:top w:val="nil"/>
              <w:left w:val="nil"/>
              <w:bottom w:val="nil"/>
              <w:right w:val="nil"/>
            </w:tcBorders>
            <w:shd w:val="clear" w:color="auto" w:fill="F2F2F2" w:themeFill="background1" w:themeFillShade="F2"/>
            <w:noWrap/>
            <w:vAlign w:val="center"/>
            <w:hideMark/>
          </w:tcPr>
          <w:p w14:paraId="4252EA88" w14:textId="28B95EA6"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45" w:type="dxa"/>
            <w:tcBorders>
              <w:top w:val="nil"/>
              <w:left w:val="nil"/>
              <w:bottom w:val="nil"/>
              <w:right w:val="nil"/>
            </w:tcBorders>
            <w:shd w:val="clear" w:color="auto" w:fill="F2F2F2" w:themeFill="background1" w:themeFillShade="F2"/>
            <w:noWrap/>
            <w:vAlign w:val="center"/>
            <w:hideMark/>
          </w:tcPr>
          <w:p w14:paraId="01FC4DE2" w14:textId="0656C87F"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323" w:type="dxa"/>
            <w:tcBorders>
              <w:top w:val="nil"/>
              <w:left w:val="nil"/>
              <w:bottom w:val="nil"/>
              <w:right w:val="nil"/>
            </w:tcBorders>
            <w:shd w:val="clear" w:color="auto" w:fill="F2F2F2" w:themeFill="background1" w:themeFillShade="F2"/>
            <w:noWrap/>
            <w:vAlign w:val="center"/>
            <w:hideMark/>
          </w:tcPr>
          <w:p w14:paraId="47448ED9" w14:textId="71C1F27A"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r>
      <w:tr w:rsidR="00646EFE" w:rsidRPr="00627DA0" w14:paraId="6072F470" w14:textId="77777777" w:rsidTr="00646EFE">
        <w:trPr>
          <w:trHeight w:val="332"/>
          <w:jc w:val="center"/>
        </w:trPr>
        <w:tc>
          <w:tcPr>
            <w:tcW w:w="3430" w:type="dxa"/>
            <w:tcBorders>
              <w:top w:val="nil"/>
              <w:left w:val="nil"/>
              <w:bottom w:val="nil"/>
              <w:right w:val="nil"/>
            </w:tcBorders>
            <w:noWrap/>
            <w:vAlign w:val="center"/>
            <w:hideMark/>
          </w:tcPr>
          <w:p w14:paraId="3B0E49D9" w14:textId="77777777" w:rsidR="00646EFE" w:rsidRPr="00627DA0" w:rsidRDefault="00646EFE" w:rsidP="00646EFE">
            <w:pPr>
              <w:spacing w:after="0" w:line="240" w:lineRule="auto"/>
              <w:jc w:val="left"/>
              <w:rPr>
                <w:rFonts w:eastAsia="Times New Roman" w:cs="Calibri"/>
                <w:color w:val="000000"/>
                <w:sz w:val="20"/>
                <w:szCs w:val="20"/>
              </w:rPr>
            </w:pPr>
            <w:r w:rsidRPr="00627DA0">
              <w:rPr>
                <w:rFonts w:eastAsia="Times New Roman" w:cs="Calibri"/>
                <w:color w:val="000000"/>
                <w:sz w:val="20"/>
                <w:szCs w:val="20"/>
              </w:rPr>
              <w:t>Ventilation</w:t>
            </w:r>
          </w:p>
        </w:tc>
        <w:tc>
          <w:tcPr>
            <w:tcW w:w="1263" w:type="dxa"/>
            <w:tcBorders>
              <w:top w:val="nil"/>
              <w:left w:val="nil"/>
              <w:bottom w:val="nil"/>
              <w:right w:val="nil"/>
            </w:tcBorders>
            <w:noWrap/>
            <w:vAlign w:val="center"/>
            <w:hideMark/>
          </w:tcPr>
          <w:p w14:paraId="2E33E459" w14:textId="2775A392"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63" w:type="dxa"/>
            <w:tcBorders>
              <w:top w:val="nil"/>
              <w:left w:val="nil"/>
              <w:bottom w:val="nil"/>
              <w:right w:val="nil"/>
            </w:tcBorders>
            <w:noWrap/>
            <w:vAlign w:val="center"/>
            <w:hideMark/>
          </w:tcPr>
          <w:p w14:paraId="17CBEDFF" w14:textId="0AC0F41A"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245" w:type="dxa"/>
            <w:tcBorders>
              <w:top w:val="nil"/>
              <w:left w:val="nil"/>
              <w:bottom w:val="nil"/>
              <w:right w:val="nil"/>
            </w:tcBorders>
            <w:noWrap/>
            <w:vAlign w:val="center"/>
            <w:hideMark/>
          </w:tcPr>
          <w:p w14:paraId="057603F1" w14:textId="59BB4C46"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c>
          <w:tcPr>
            <w:tcW w:w="1323" w:type="dxa"/>
            <w:tcBorders>
              <w:top w:val="nil"/>
              <w:left w:val="nil"/>
              <w:bottom w:val="nil"/>
              <w:right w:val="nil"/>
            </w:tcBorders>
            <w:noWrap/>
            <w:vAlign w:val="center"/>
            <w:hideMark/>
          </w:tcPr>
          <w:p w14:paraId="1B81DFC9" w14:textId="5B1073EF" w:rsidR="00646EFE" w:rsidRPr="00627DA0" w:rsidRDefault="00646EFE" w:rsidP="00646EFE">
            <w:pPr>
              <w:spacing w:after="0" w:line="240" w:lineRule="auto"/>
              <w:jc w:val="right"/>
              <w:rPr>
                <w:rFonts w:eastAsia="Times New Roman" w:cs="Calibri"/>
                <w:color w:val="000000"/>
                <w:sz w:val="20"/>
                <w:szCs w:val="20"/>
              </w:rPr>
            </w:pPr>
            <w:r w:rsidRPr="00627DA0">
              <w:rPr>
                <w:rFonts w:cs="Calibri"/>
                <w:color w:val="000000"/>
                <w:sz w:val="20"/>
                <w:szCs w:val="20"/>
              </w:rPr>
              <w:t>-</w:t>
            </w:r>
          </w:p>
        </w:tc>
      </w:tr>
      <w:tr w:rsidR="00646EFE" w:rsidRPr="00627DA0" w14:paraId="13F61171" w14:textId="77777777" w:rsidTr="00646EFE">
        <w:trPr>
          <w:trHeight w:val="332"/>
          <w:jc w:val="center"/>
        </w:trPr>
        <w:tc>
          <w:tcPr>
            <w:tcW w:w="3430" w:type="dxa"/>
            <w:tcBorders>
              <w:top w:val="single" w:sz="8" w:space="0" w:color="auto"/>
              <w:left w:val="nil"/>
              <w:bottom w:val="single" w:sz="12" w:space="0" w:color="auto"/>
              <w:right w:val="nil"/>
            </w:tcBorders>
            <w:shd w:val="clear" w:color="auto" w:fill="F2F2F2" w:themeFill="background1" w:themeFillShade="F2"/>
            <w:noWrap/>
            <w:vAlign w:val="center"/>
            <w:hideMark/>
          </w:tcPr>
          <w:p w14:paraId="35186566" w14:textId="77777777" w:rsidR="00646EFE" w:rsidRPr="00627DA0" w:rsidRDefault="00646EFE" w:rsidP="00646EFE">
            <w:pPr>
              <w:spacing w:after="0" w:line="240" w:lineRule="auto"/>
              <w:jc w:val="left"/>
              <w:rPr>
                <w:rFonts w:eastAsia="Times New Roman" w:cs="Calibri"/>
                <w:b/>
                <w:bCs/>
                <w:color w:val="000000"/>
                <w:sz w:val="20"/>
                <w:szCs w:val="20"/>
              </w:rPr>
            </w:pPr>
            <w:r w:rsidRPr="00627DA0">
              <w:rPr>
                <w:rFonts w:eastAsia="Times New Roman" w:cs="Calibri"/>
                <w:b/>
                <w:bCs/>
                <w:color w:val="000000"/>
                <w:sz w:val="20"/>
                <w:szCs w:val="20"/>
              </w:rPr>
              <w:t>Total</w:t>
            </w:r>
          </w:p>
        </w:tc>
        <w:tc>
          <w:tcPr>
            <w:tcW w:w="1263" w:type="dxa"/>
            <w:tcBorders>
              <w:top w:val="single" w:sz="8" w:space="0" w:color="auto"/>
              <w:left w:val="nil"/>
              <w:bottom w:val="single" w:sz="12" w:space="0" w:color="auto"/>
              <w:right w:val="nil"/>
            </w:tcBorders>
            <w:shd w:val="clear" w:color="auto" w:fill="F2F2F2" w:themeFill="background1" w:themeFillShade="F2"/>
            <w:noWrap/>
            <w:vAlign w:val="center"/>
            <w:hideMark/>
          </w:tcPr>
          <w:p w14:paraId="03F6C570" w14:textId="26434B02" w:rsidR="00646EFE" w:rsidRPr="00627DA0" w:rsidRDefault="00646EFE" w:rsidP="00646EFE">
            <w:pPr>
              <w:spacing w:after="0" w:line="240" w:lineRule="auto"/>
              <w:jc w:val="right"/>
              <w:rPr>
                <w:rFonts w:eastAsia="Times New Roman" w:cs="Calibri"/>
                <w:b/>
                <w:bCs/>
                <w:color w:val="000000"/>
                <w:sz w:val="20"/>
                <w:szCs w:val="20"/>
              </w:rPr>
            </w:pPr>
            <w:r w:rsidRPr="00627DA0">
              <w:rPr>
                <w:rFonts w:cs="Calibri"/>
                <w:b/>
                <w:bCs/>
                <w:color w:val="000000"/>
                <w:sz w:val="20"/>
                <w:szCs w:val="20"/>
              </w:rPr>
              <w:t>64</w:t>
            </w:r>
          </w:p>
        </w:tc>
        <w:tc>
          <w:tcPr>
            <w:tcW w:w="1263" w:type="dxa"/>
            <w:tcBorders>
              <w:top w:val="single" w:sz="8" w:space="0" w:color="auto"/>
              <w:left w:val="nil"/>
              <w:bottom w:val="single" w:sz="12" w:space="0" w:color="auto"/>
              <w:right w:val="nil"/>
            </w:tcBorders>
            <w:shd w:val="clear" w:color="auto" w:fill="F2F2F2" w:themeFill="background1" w:themeFillShade="F2"/>
            <w:noWrap/>
            <w:vAlign w:val="center"/>
            <w:hideMark/>
          </w:tcPr>
          <w:p w14:paraId="2D0102D3" w14:textId="0EF6520B" w:rsidR="00646EFE" w:rsidRPr="00627DA0" w:rsidRDefault="00646EFE" w:rsidP="00646EFE">
            <w:pPr>
              <w:spacing w:after="0" w:line="240" w:lineRule="auto"/>
              <w:jc w:val="right"/>
              <w:rPr>
                <w:rFonts w:eastAsia="Times New Roman" w:cs="Calibri"/>
                <w:b/>
                <w:bCs/>
                <w:color w:val="000000"/>
                <w:sz w:val="20"/>
                <w:szCs w:val="20"/>
              </w:rPr>
            </w:pPr>
            <w:r w:rsidRPr="00627DA0">
              <w:rPr>
                <w:rFonts w:cs="Calibri"/>
                <w:b/>
                <w:bCs/>
                <w:color w:val="000000"/>
                <w:sz w:val="20"/>
                <w:szCs w:val="20"/>
              </w:rPr>
              <w:t>209</w:t>
            </w:r>
          </w:p>
        </w:tc>
        <w:tc>
          <w:tcPr>
            <w:tcW w:w="1245" w:type="dxa"/>
            <w:tcBorders>
              <w:top w:val="single" w:sz="8" w:space="0" w:color="auto"/>
              <w:left w:val="nil"/>
              <w:bottom w:val="single" w:sz="12" w:space="0" w:color="auto"/>
              <w:right w:val="nil"/>
            </w:tcBorders>
            <w:shd w:val="clear" w:color="auto" w:fill="F2F2F2" w:themeFill="background1" w:themeFillShade="F2"/>
            <w:noWrap/>
            <w:vAlign w:val="center"/>
            <w:hideMark/>
          </w:tcPr>
          <w:p w14:paraId="1AD627C7" w14:textId="59841EBB" w:rsidR="00646EFE" w:rsidRPr="00627DA0" w:rsidRDefault="00646EFE" w:rsidP="00646EFE">
            <w:pPr>
              <w:spacing w:after="0" w:line="240" w:lineRule="auto"/>
              <w:jc w:val="right"/>
              <w:rPr>
                <w:rFonts w:eastAsia="Times New Roman" w:cs="Calibri"/>
                <w:b/>
                <w:bCs/>
                <w:color w:val="000000"/>
                <w:sz w:val="20"/>
                <w:szCs w:val="20"/>
              </w:rPr>
            </w:pPr>
            <w:r w:rsidRPr="00627DA0">
              <w:rPr>
                <w:rFonts w:cs="Calibri"/>
                <w:b/>
                <w:bCs/>
                <w:color w:val="000000"/>
                <w:sz w:val="20"/>
                <w:szCs w:val="20"/>
              </w:rPr>
              <w:t>1,358</w:t>
            </w:r>
          </w:p>
        </w:tc>
        <w:tc>
          <w:tcPr>
            <w:tcW w:w="1323" w:type="dxa"/>
            <w:tcBorders>
              <w:top w:val="single" w:sz="8" w:space="0" w:color="auto"/>
              <w:left w:val="nil"/>
              <w:bottom w:val="single" w:sz="12" w:space="0" w:color="auto"/>
              <w:right w:val="nil"/>
            </w:tcBorders>
            <w:shd w:val="clear" w:color="auto" w:fill="F2F2F2" w:themeFill="background1" w:themeFillShade="F2"/>
            <w:noWrap/>
            <w:vAlign w:val="center"/>
            <w:hideMark/>
          </w:tcPr>
          <w:p w14:paraId="24C0CFF1" w14:textId="3F9A479E" w:rsidR="00646EFE" w:rsidRPr="00627DA0" w:rsidRDefault="00646EFE" w:rsidP="00646EFE">
            <w:pPr>
              <w:spacing w:after="0" w:line="240" w:lineRule="auto"/>
              <w:jc w:val="right"/>
              <w:rPr>
                <w:rFonts w:eastAsia="Times New Roman" w:cs="Calibri"/>
                <w:b/>
                <w:bCs/>
                <w:color w:val="000000"/>
                <w:sz w:val="20"/>
                <w:szCs w:val="20"/>
              </w:rPr>
            </w:pPr>
            <w:r w:rsidRPr="00627DA0">
              <w:rPr>
                <w:rFonts w:cs="Calibri"/>
                <w:b/>
                <w:bCs/>
                <w:color w:val="000000"/>
                <w:sz w:val="20"/>
                <w:szCs w:val="20"/>
              </w:rPr>
              <w:t>2,778</w:t>
            </w:r>
          </w:p>
        </w:tc>
      </w:tr>
    </w:tbl>
    <w:p w14:paraId="19FDBB28" w14:textId="77777777" w:rsidR="00E6002B" w:rsidRPr="00627DA0" w:rsidRDefault="00E6002B" w:rsidP="00E6002B"/>
    <w:p w14:paraId="0D944863" w14:textId="12CE7AE8" w:rsidR="00F7700B" w:rsidRPr="00627DA0" w:rsidRDefault="00F7700B" w:rsidP="00DE397A">
      <w:pPr>
        <w:pStyle w:val="Caption"/>
      </w:pPr>
      <w:r w:rsidRPr="00627DA0">
        <w:br w:type="page"/>
      </w:r>
    </w:p>
    <w:p w14:paraId="682549E6" w14:textId="4A51B643" w:rsidR="00F7700B" w:rsidRPr="00627DA0" w:rsidRDefault="00F7700B" w:rsidP="00F7700B">
      <w:pPr>
        <w:pStyle w:val="Heading1"/>
      </w:pPr>
      <w:bookmarkStart w:id="179" w:name="_Toc207870698"/>
      <w:r w:rsidRPr="00627DA0">
        <w:lastRenderedPageBreak/>
        <w:t>Appendix VII: Ramp Rate Alignment Documentation</w:t>
      </w:r>
      <w:bookmarkEnd w:id="179"/>
    </w:p>
    <w:p w14:paraId="677CC1C2" w14:textId="1D01D20B" w:rsidR="00D64E87" w:rsidRPr="00627DA0" w:rsidRDefault="00D64E87" w:rsidP="00D64E87">
      <w:pPr>
        <w:rPr>
          <w:rFonts w:cs="Calibri Light"/>
        </w:rPr>
      </w:pPr>
      <w:r w:rsidRPr="00627DA0">
        <w:rPr>
          <w:rFonts w:cs="Calibri Light"/>
        </w:rPr>
        <w:t xml:space="preserve">This section documents the application of ramp rates in Inland Power’s 2025 Conservation Potential Assessment (CPA), developed by Lighthouse Energy Consulting and Nauvoo Solutions (the study team). Ramp rates are annual values that approximate the portion of technical potential that can be realistically achieved in each year. For example, all unweatherized homes in Inland Power’s service territory could theoretically be weatherized in a single year. However, program budgets, workforce availability, and other dynamics make this impractical. As a result, only a portion of those homes could realistically be weatherized in a given year. </w:t>
      </w:r>
    </w:p>
    <w:p w14:paraId="382212D5" w14:textId="77777777" w:rsidR="00D64E87" w:rsidRPr="00627DA0" w:rsidRDefault="00D64E87" w:rsidP="00D64E87">
      <w:pPr>
        <w:rPr>
          <w:rFonts w:cs="Calibri Light"/>
        </w:rPr>
      </w:pPr>
      <w:r w:rsidRPr="00627DA0">
        <w:rPr>
          <w:rFonts w:cs="Calibri Light"/>
        </w:rPr>
        <w:t xml:space="preserve">For equipment measures like clothes washers, upgrading to more efficient equipment is most likely to occur when the equipment reaches the end of its life and needs to be replaced. Therefore, ramp rates for equipment measures reflect the share of equipment turning over in a given year that is replaced with a more efficient model. </w:t>
      </w:r>
    </w:p>
    <w:p w14:paraId="0E3949AD" w14:textId="77777777" w:rsidR="00D64E87" w:rsidRPr="00627DA0" w:rsidRDefault="00D64E87" w:rsidP="00D64E87">
      <w:pPr>
        <w:rPr>
          <w:rFonts w:cs="Calibri Light"/>
        </w:rPr>
      </w:pPr>
      <w:r w:rsidRPr="00627DA0">
        <w:rPr>
          <w:rFonts w:cs="Calibri Light"/>
        </w:rPr>
        <w:t xml:space="preserve">The ramp rates used in this study are based on those used in the 2021 Power Plan but were updated to reflect the fact that some time has elapsed since the 2021 Power Plan. The project team assigned ramp rates that align the near-term cost-effective potential quantified in the CPA with the recent and expected achievements of Inland Power’s energy efficiency programs. </w:t>
      </w:r>
      <w:r w:rsidRPr="00627DA0">
        <w:t xml:space="preserve">Under both CETA and EIA, utilities are required to pursue all conservation that is cost-effective, reliable, and achievable. Therefore, the ramp rates in this study are designed to </w:t>
      </w:r>
      <w:r w:rsidRPr="00627DA0">
        <w:rPr>
          <w:rFonts w:cs="Calibri Light"/>
        </w:rPr>
        <w:t xml:space="preserve">ensure that the near-term potential is feasible and achievable for Inland Power’s programs and the measures considered for adoption meet regulatory cost-effectiveness criteria. </w:t>
      </w:r>
    </w:p>
    <w:p w14:paraId="46CC3296" w14:textId="77777777" w:rsidR="00D64E87" w:rsidRPr="00627DA0" w:rsidRDefault="00D64E87" w:rsidP="00D64E87">
      <w:pPr>
        <w:pStyle w:val="Heading2"/>
      </w:pPr>
      <w:bookmarkStart w:id="180" w:name="_Toc207870699"/>
      <w:r w:rsidRPr="00627DA0">
        <w:t>Ramp Rate Alignment Process</w:t>
      </w:r>
      <w:bookmarkEnd w:id="180"/>
    </w:p>
    <w:p w14:paraId="22BD7BF0" w14:textId="77777777" w:rsidR="00D64E87" w:rsidRPr="00627DA0" w:rsidRDefault="00D64E87" w:rsidP="00D64E87">
      <w:pPr>
        <w:rPr>
          <w:rFonts w:cs="Calibri Light"/>
        </w:rPr>
      </w:pPr>
      <w:r w:rsidRPr="00627DA0">
        <w:rPr>
          <w:rFonts w:cs="Calibri Light"/>
        </w:rPr>
        <w:t xml:space="preserve">Inland Power staff provided recent program achievement data, which the study team summarized by sector and end use. For the residential sector, the study team further classified program achievements by high-level measure categories. </w:t>
      </w:r>
    </w:p>
    <w:p w14:paraId="5A4858B0" w14:textId="77777777" w:rsidR="00D64E87" w:rsidRPr="00627DA0" w:rsidRDefault="00D64E87" w:rsidP="00D64E87">
      <w:pPr>
        <w:rPr>
          <w:rFonts w:cs="Calibri Light"/>
        </w:rPr>
      </w:pPr>
      <w:r w:rsidRPr="00627DA0">
        <w:rPr>
          <w:rFonts w:cs="Calibri Light"/>
        </w:rPr>
        <w:t>Additionally, Inland Power benefits from the regional market transformation work of the Northwest Energy Efficiency Alliance (NEEA). To reflect this, the study team incorporated estimated energy efficiency savings from NEEA market transformation activity occurring in Inland Power’s service territory. These savings were allocated across sectors, end uses, and measure categories based on recent reporting of NEEA’s regional savings.</w:t>
      </w:r>
    </w:p>
    <w:p w14:paraId="247F421D" w14:textId="77777777" w:rsidR="00D64E87" w:rsidRPr="00627DA0" w:rsidRDefault="00D64E87" w:rsidP="00D64E87">
      <w:pPr>
        <w:rPr>
          <w:rFonts w:cs="Calibri Light"/>
        </w:rPr>
      </w:pPr>
      <w:r w:rsidRPr="00627DA0">
        <w:rPr>
          <w:rFonts w:cs="Calibri Light"/>
        </w:rPr>
        <w:t>The study team compared the recent savings from Inland Power’s programs and NEEA’s market transformation initiatives with the initial estimates of the cost-effective energy efficiency potential identified in the CPA. The study team made changes to the assigned ramp rates to accelerate or decelerate the forecasted pace of savings acquisition to align future savings potential with recent programmatic achievements. Areas where there were little to no recent program achievements typically have a slow ramp rate applied to account for the fact that a program may need to build momentum over several years.</w:t>
      </w:r>
    </w:p>
    <w:p w14:paraId="411814C6" w14:textId="77777777" w:rsidR="00D64E87" w:rsidRPr="00627DA0" w:rsidRDefault="00D64E87" w:rsidP="00D64E87">
      <w:pPr>
        <w:rPr>
          <w:rFonts w:cs="Calibri Light"/>
        </w:rPr>
      </w:pPr>
      <w:r w:rsidRPr="00627DA0">
        <w:rPr>
          <w:rFonts w:cs="Calibri Light"/>
        </w:rPr>
        <w:t>The following tables show how Inland Power’s recent programmatic achievements and allocated NEEA market transformation savings compare to the potential estimated to be cost-effective after adjusting the ramp rates. Color scaling has been applied to highlight the larger values. Discussion follows each table with additional detail.</w:t>
      </w:r>
    </w:p>
    <w:p w14:paraId="53E1B949" w14:textId="77777777" w:rsidR="00D64E87" w:rsidRPr="00627DA0" w:rsidRDefault="00D64E87" w:rsidP="00D64E87">
      <w:pPr>
        <w:pStyle w:val="Heading3"/>
      </w:pPr>
      <w:r w:rsidRPr="00627DA0">
        <w:lastRenderedPageBreak/>
        <w:t>Residential</w:t>
      </w:r>
    </w:p>
    <w:p w14:paraId="158DF8B1" w14:textId="765208D4" w:rsidR="00D64E87" w:rsidRPr="00627DA0" w:rsidRDefault="00D64E87" w:rsidP="00D64E87">
      <w:r w:rsidRPr="00627DA0">
        <w:fldChar w:fldCharType="begin"/>
      </w:r>
      <w:r w:rsidRPr="00627DA0">
        <w:instrText xml:space="preserve"> REF _Ref65673101 \h </w:instrText>
      </w:r>
      <w:r w:rsidRPr="00627DA0">
        <w:fldChar w:fldCharType="separate"/>
      </w:r>
      <w:r w:rsidR="00431297" w:rsidRPr="00627DA0">
        <w:rPr>
          <w:szCs w:val="20"/>
        </w:rPr>
        <w:t>Table 24</w:t>
      </w:r>
      <w:r w:rsidRPr="00627DA0">
        <w:fldChar w:fldCharType="end"/>
      </w:r>
      <w:r w:rsidRPr="00627DA0">
        <w:t xml:space="preserve"> shows how residential potential was aligned with recent achievements by measure category. </w:t>
      </w:r>
    </w:p>
    <w:p w14:paraId="028A699C" w14:textId="77777777" w:rsidR="00D64E87" w:rsidRPr="00627DA0" w:rsidRDefault="00D64E87" w:rsidP="00D64E87">
      <w:r w:rsidRPr="00627DA0">
        <w:t xml:space="preserve">Note that ramp rate choices are discrete and may not provide exact alignment. The overall goal is to achieve a general alignment across end uses and measures. </w:t>
      </w:r>
    </w:p>
    <w:p w14:paraId="130227D8" w14:textId="094AD744" w:rsidR="00D64E87" w:rsidRPr="00627DA0" w:rsidRDefault="00D64E87" w:rsidP="00D64E87">
      <w:pPr>
        <w:pStyle w:val="Caption"/>
        <w:rPr>
          <w:szCs w:val="20"/>
        </w:rPr>
      </w:pPr>
      <w:bookmarkStart w:id="181" w:name="_Ref65673101"/>
      <w:bookmarkStart w:id="182" w:name="_Toc207870753"/>
      <w:r w:rsidRPr="00627DA0">
        <w:rPr>
          <w:szCs w:val="20"/>
        </w:rPr>
        <w:t xml:space="preserve">Table </w:t>
      </w:r>
      <w:r w:rsidRPr="00627DA0">
        <w:rPr>
          <w:szCs w:val="20"/>
        </w:rPr>
        <w:fldChar w:fldCharType="begin"/>
      </w:r>
      <w:r w:rsidRPr="00627DA0">
        <w:rPr>
          <w:szCs w:val="20"/>
        </w:rPr>
        <w:instrText xml:space="preserve"> SEQ Table \* ARABIC </w:instrText>
      </w:r>
      <w:r w:rsidRPr="00627DA0">
        <w:rPr>
          <w:szCs w:val="20"/>
        </w:rPr>
        <w:fldChar w:fldCharType="separate"/>
      </w:r>
      <w:r w:rsidR="00431297" w:rsidRPr="00627DA0">
        <w:rPr>
          <w:szCs w:val="20"/>
        </w:rPr>
        <w:t>24</w:t>
      </w:r>
      <w:r w:rsidRPr="00627DA0">
        <w:rPr>
          <w:szCs w:val="20"/>
        </w:rPr>
        <w:fldChar w:fldCharType="end"/>
      </w:r>
      <w:bookmarkEnd w:id="181"/>
      <w:r w:rsidRPr="00627DA0">
        <w:rPr>
          <w:szCs w:val="20"/>
        </w:rPr>
        <w:t>: Alignment of Residential Program History and Potential by Measure Category (MWh)</w:t>
      </w:r>
      <w:bookmarkEnd w:id="182"/>
    </w:p>
    <w:tbl>
      <w:tblPr>
        <w:tblW w:w="5000" w:type="pct"/>
        <w:tblLook w:val="04A0" w:firstRow="1" w:lastRow="0" w:firstColumn="1" w:lastColumn="0" w:noHBand="0" w:noVBand="1"/>
      </w:tblPr>
      <w:tblGrid>
        <w:gridCol w:w="1605"/>
        <w:gridCol w:w="2022"/>
        <w:gridCol w:w="876"/>
        <w:gridCol w:w="859"/>
        <w:gridCol w:w="867"/>
        <w:gridCol w:w="668"/>
        <w:gridCol w:w="709"/>
        <w:gridCol w:w="709"/>
        <w:gridCol w:w="1045"/>
      </w:tblGrid>
      <w:tr w:rsidR="00D64E87" w:rsidRPr="00627DA0" w14:paraId="31605F8F" w14:textId="77777777" w:rsidTr="000C139E">
        <w:trPr>
          <w:trHeight w:val="315"/>
        </w:trPr>
        <w:tc>
          <w:tcPr>
            <w:tcW w:w="857" w:type="pct"/>
            <w:tcBorders>
              <w:top w:val="single" w:sz="8" w:space="0" w:color="auto"/>
              <w:left w:val="nil"/>
              <w:bottom w:val="single" w:sz="8" w:space="0" w:color="auto"/>
              <w:right w:val="nil"/>
            </w:tcBorders>
            <w:shd w:val="clear" w:color="000000" w:fill="44546A"/>
            <w:noWrap/>
            <w:vAlign w:val="bottom"/>
            <w:hideMark/>
          </w:tcPr>
          <w:p w14:paraId="54BF365A"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 </w:t>
            </w:r>
          </w:p>
        </w:tc>
        <w:tc>
          <w:tcPr>
            <w:tcW w:w="1080" w:type="pct"/>
            <w:tcBorders>
              <w:top w:val="single" w:sz="8" w:space="0" w:color="auto"/>
              <w:left w:val="nil"/>
              <w:bottom w:val="single" w:sz="8" w:space="0" w:color="auto"/>
              <w:right w:val="nil"/>
            </w:tcBorders>
            <w:shd w:val="clear" w:color="000000" w:fill="44546A"/>
            <w:noWrap/>
            <w:vAlign w:val="bottom"/>
            <w:hideMark/>
          </w:tcPr>
          <w:p w14:paraId="469503F8"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 </w:t>
            </w:r>
          </w:p>
        </w:tc>
        <w:tc>
          <w:tcPr>
            <w:tcW w:w="468" w:type="pct"/>
            <w:tcBorders>
              <w:top w:val="single" w:sz="8" w:space="0" w:color="auto"/>
              <w:left w:val="nil"/>
              <w:bottom w:val="single" w:sz="8" w:space="0" w:color="auto"/>
              <w:right w:val="nil"/>
            </w:tcBorders>
            <w:shd w:val="clear" w:color="000000" w:fill="44546A"/>
            <w:noWrap/>
            <w:vAlign w:val="bottom"/>
            <w:hideMark/>
          </w:tcPr>
          <w:p w14:paraId="5DC622CC"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 </w:t>
            </w:r>
          </w:p>
        </w:tc>
        <w:tc>
          <w:tcPr>
            <w:tcW w:w="921" w:type="pct"/>
            <w:gridSpan w:val="2"/>
            <w:tcBorders>
              <w:top w:val="single" w:sz="8" w:space="0" w:color="auto"/>
              <w:left w:val="nil"/>
              <w:bottom w:val="single" w:sz="8" w:space="0" w:color="auto"/>
              <w:right w:val="single" w:sz="4" w:space="0" w:color="000000"/>
            </w:tcBorders>
            <w:shd w:val="clear" w:color="000000" w:fill="44546A"/>
            <w:noWrap/>
            <w:vAlign w:val="bottom"/>
            <w:hideMark/>
          </w:tcPr>
          <w:p w14:paraId="1531E6EB"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Program History</w:t>
            </w:r>
          </w:p>
        </w:tc>
        <w:tc>
          <w:tcPr>
            <w:tcW w:w="1674" w:type="pct"/>
            <w:gridSpan w:val="4"/>
            <w:tcBorders>
              <w:top w:val="single" w:sz="8" w:space="0" w:color="auto"/>
              <w:left w:val="single" w:sz="4" w:space="0" w:color="auto"/>
              <w:bottom w:val="single" w:sz="8" w:space="0" w:color="auto"/>
              <w:right w:val="nil"/>
            </w:tcBorders>
            <w:shd w:val="clear" w:color="000000" w:fill="44546A"/>
            <w:noWrap/>
            <w:vAlign w:val="bottom"/>
            <w:hideMark/>
          </w:tcPr>
          <w:p w14:paraId="3674940C" w14:textId="77777777" w:rsidR="00D64E87" w:rsidRPr="00627DA0" w:rsidRDefault="00D64E87" w:rsidP="002B151F">
            <w:pPr>
              <w:spacing w:after="0" w:line="240" w:lineRule="auto"/>
              <w:jc w:val="center"/>
              <w:rPr>
                <w:rFonts w:eastAsia="Times New Roman" w:cs="Times New Roman"/>
                <w:b/>
                <w:bCs/>
                <w:color w:val="FFFFFF"/>
                <w:sz w:val="18"/>
                <w:szCs w:val="18"/>
              </w:rPr>
            </w:pPr>
            <w:r w:rsidRPr="00627DA0">
              <w:rPr>
                <w:rFonts w:eastAsia="Times New Roman" w:cs="Times New Roman"/>
                <w:b/>
                <w:bCs/>
                <w:color w:val="FFFFFF"/>
                <w:sz w:val="18"/>
                <w:szCs w:val="18"/>
              </w:rPr>
              <w:t>CPA Cost-Effective Potential</w:t>
            </w:r>
          </w:p>
        </w:tc>
      </w:tr>
      <w:tr w:rsidR="00D64E87" w:rsidRPr="00627DA0" w14:paraId="66C9E3E1" w14:textId="77777777" w:rsidTr="000C139E">
        <w:trPr>
          <w:trHeight w:val="315"/>
        </w:trPr>
        <w:tc>
          <w:tcPr>
            <w:tcW w:w="857" w:type="pct"/>
            <w:tcBorders>
              <w:top w:val="nil"/>
              <w:left w:val="nil"/>
              <w:bottom w:val="single" w:sz="8" w:space="0" w:color="auto"/>
              <w:right w:val="nil"/>
            </w:tcBorders>
            <w:shd w:val="clear" w:color="000000" w:fill="002C7C"/>
            <w:noWrap/>
            <w:vAlign w:val="bottom"/>
            <w:hideMark/>
          </w:tcPr>
          <w:p w14:paraId="593ECA90"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End Use</w:t>
            </w:r>
          </w:p>
        </w:tc>
        <w:tc>
          <w:tcPr>
            <w:tcW w:w="1080" w:type="pct"/>
            <w:tcBorders>
              <w:top w:val="nil"/>
              <w:left w:val="nil"/>
              <w:bottom w:val="single" w:sz="8" w:space="0" w:color="auto"/>
              <w:right w:val="nil"/>
            </w:tcBorders>
            <w:shd w:val="clear" w:color="000000" w:fill="002C7C"/>
            <w:noWrap/>
            <w:vAlign w:val="bottom"/>
            <w:hideMark/>
          </w:tcPr>
          <w:p w14:paraId="58EDD971" w14:textId="77777777" w:rsidR="00D64E87" w:rsidRPr="00627DA0" w:rsidRDefault="00D64E87" w:rsidP="002B151F">
            <w:pPr>
              <w:spacing w:after="0" w:line="240" w:lineRule="auto"/>
              <w:jc w:val="left"/>
              <w:rPr>
                <w:rFonts w:eastAsia="Times New Roman" w:cs="Times New Roman"/>
                <w:b/>
                <w:bCs/>
                <w:color w:val="FFFFFF"/>
                <w:sz w:val="18"/>
                <w:szCs w:val="18"/>
              </w:rPr>
            </w:pPr>
            <w:r w:rsidRPr="00627DA0">
              <w:rPr>
                <w:rFonts w:eastAsia="Times New Roman" w:cs="Times New Roman"/>
                <w:b/>
                <w:bCs/>
                <w:color w:val="FFFFFF"/>
                <w:sz w:val="18"/>
                <w:szCs w:val="18"/>
              </w:rPr>
              <w:t>Category</w:t>
            </w:r>
          </w:p>
        </w:tc>
        <w:tc>
          <w:tcPr>
            <w:tcW w:w="468" w:type="pct"/>
            <w:tcBorders>
              <w:top w:val="nil"/>
              <w:left w:val="nil"/>
              <w:bottom w:val="single" w:sz="8" w:space="0" w:color="auto"/>
              <w:right w:val="nil"/>
            </w:tcBorders>
            <w:shd w:val="clear" w:color="000000" w:fill="002C7C"/>
            <w:noWrap/>
            <w:vAlign w:val="bottom"/>
            <w:hideMark/>
          </w:tcPr>
          <w:p w14:paraId="37BBA9CE"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2022</w:t>
            </w:r>
          </w:p>
        </w:tc>
        <w:tc>
          <w:tcPr>
            <w:tcW w:w="459" w:type="pct"/>
            <w:tcBorders>
              <w:top w:val="nil"/>
              <w:left w:val="nil"/>
              <w:bottom w:val="single" w:sz="8" w:space="0" w:color="auto"/>
              <w:right w:val="nil"/>
            </w:tcBorders>
            <w:shd w:val="clear" w:color="000000" w:fill="002C7C"/>
            <w:noWrap/>
            <w:vAlign w:val="bottom"/>
            <w:hideMark/>
          </w:tcPr>
          <w:p w14:paraId="356E10F0"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2023</w:t>
            </w:r>
          </w:p>
        </w:tc>
        <w:tc>
          <w:tcPr>
            <w:tcW w:w="463" w:type="pct"/>
            <w:tcBorders>
              <w:top w:val="nil"/>
              <w:left w:val="nil"/>
              <w:bottom w:val="single" w:sz="8" w:space="0" w:color="auto"/>
              <w:right w:val="nil"/>
            </w:tcBorders>
            <w:shd w:val="clear" w:color="000000" w:fill="002C7C"/>
            <w:noWrap/>
            <w:vAlign w:val="bottom"/>
            <w:hideMark/>
          </w:tcPr>
          <w:p w14:paraId="5A8C9D81"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2024</w:t>
            </w:r>
          </w:p>
        </w:tc>
        <w:tc>
          <w:tcPr>
            <w:tcW w:w="357" w:type="pct"/>
            <w:tcBorders>
              <w:top w:val="nil"/>
              <w:left w:val="single" w:sz="4" w:space="0" w:color="auto"/>
              <w:bottom w:val="single" w:sz="8" w:space="0" w:color="auto"/>
              <w:right w:val="nil"/>
            </w:tcBorders>
            <w:shd w:val="clear" w:color="000000" w:fill="002C7C"/>
            <w:noWrap/>
            <w:vAlign w:val="bottom"/>
            <w:hideMark/>
          </w:tcPr>
          <w:p w14:paraId="5F83414B"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2026</w:t>
            </w:r>
          </w:p>
        </w:tc>
        <w:tc>
          <w:tcPr>
            <w:tcW w:w="379" w:type="pct"/>
            <w:tcBorders>
              <w:top w:val="nil"/>
              <w:left w:val="nil"/>
              <w:bottom w:val="single" w:sz="8" w:space="0" w:color="auto"/>
              <w:right w:val="nil"/>
            </w:tcBorders>
            <w:shd w:val="clear" w:color="000000" w:fill="002C7C"/>
            <w:noWrap/>
            <w:vAlign w:val="bottom"/>
            <w:hideMark/>
          </w:tcPr>
          <w:p w14:paraId="496CB582"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2027</w:t>
            </w:r>
          </w:p>
        </w:tc>
        <w:tc>
          <w:tcPr>
            <w:tcW w:w="379" w:type="pct"/>
            <w:tcBorders>
              <w:top w:val="nil"/>
              <w:left w:val="nil"/>
              <w:bottom w:val="single" w:sz="8" w:space="0" w:color="auto"/>
              <w:right w:val="nil"/>
            </w:tcBorders>
            <w:shd w:val="clear" w:color="000000" w:fill="002C7C"/>
            <w:noWrap/>
            <w:vAlign w:val="bottom"/>
            <w:hideMark/>
          </w:tcPr>
          <w:p w14:paraId="6A7C1F34" w14:textId="77777777"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2028</w:t>
            </w:r>
          </w:p>
        </w:tc>
        <w:tc>
          <w:tcPr>
            <w:tcW w:w="559" w:type="pct"/>
            <w:tcBorders>
              <w:top w:val="nil"/>
              <w:left w:val="nil"/>
              <w:bottom w:val="single" w:sz="8" w:space="0" w:color="auto"/>
              <w:right w:val="nil"/>
            </w:tcBorders>
            <w:shd w:val="clear" w:color="000000" w:fill="002C7C"/>
            <w:noWrap/>
            <w:vAlign w:val="bottom"/>
            <w:hideMark/>
          </w:tcPr>
          <w:p w14:paraId="36C60C12" w14:textId="7E91EBA0" w:rsidR="00D64E87" w:rsidRPr="00627DA0" w:rsidRDefault="00D64E87" w:rsidP="002B151F">
            <w:pPr>
              <w:spacing w:after="0" w:line="240" w:lineRule="auto"/>
              <w:jc w:val="right"/>
              <w:rPr>
                <w:rFonts w:eastAsia="Times New Roman" w:cs="Times New Roman"/>
                <w:b/>
                <w:bCs/>
                <w:color w:val="FFFFFF"/>
                <w:sz w:val="18"/>
                <w:szCs w:val="18"/>
              </w:rPr>
            </w:pPr>
            <w:r w:rsidRPr="00627DA0">
              <w:rPr>
                <w:rFonts w:eastAsia="Times New Roman" w:cs="Times New Roman"/>
                <w:b/>
                <w:bCs/>
                <w:color w:val="FFFFFF"/>
                <w:sz w:val="18"/>
                <w:szCs w:val="18"/>
              </w:rPr>
              <w:t>20</w:t>
            </w:r>
            <w:r w:rsidR="00AA2C5B" w:rsidRPr="00627DA0">
              <w:rPr>
                <w:rFonts w:eastAsia="Times New Roman" w:cs="Times New Roman"/>
                <w:b/>
                <w:bCs/>
                <w:color w:val="FFFFFF"/>
                <w:sz w:val="18"/>
                <w:szCs w:val="18"/>
              </w:rPr>
              <w:t>29</w:t>
            </w:r>
          </w:p>
        </w:tc>
      </w:tr>
      <w:tr w:rsidR="000C139E" w:rsidRPr="00627DA0" w14:paraId="4D96D141" w14:textId="77777777" w:rsidTr="000C139E">
        <w:trPr>
          <w:trHeight w:val="300"/>
        </w:trPr>
        <w:tc>
          <w:tcPr>
            <w:tcW w:w="857" w:type="pct"/>
            <w:tcBorders>
              <w:top w:val="nil"/>
              <w:left w:val="nil"/>
              <w:bottom w:val="nil"/>
              <w:right w:val="nil"/>
            </w:tcBorders>
            <w:noWrap/>
            <w:vAlign w:val="bottom"/>
            <w:hideMark/>
          </w:tcPr>
          <w:p w14:paraId="6A382AAB"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Appliances</w:t>
            </w:r>
          </w:p>
        </w:tc>
        <w:tc>
          <w:tcPr>
            <w:tcW w:w="1080" w:type="pct"/>
            <w:tcBorders>
              <w:top w:val="nil"/>
              <w:left w:val="nil"/>
              <w:bottom w:val="nil"/>
              <w:right w:val="nil"/>
            </w:tcBorders>
            <w:noWrap/>
            <w:vAlign w:val="bottom"/>
            <w:hideMark/>
          </w:tcPr>
          <w:p w14:paraId="07C9CC99"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Clothes Washer</w:t>
            </w:r>
          </w:p>
        </w:tc>
        <w:tc>
          <w:tcPr>
            <w:tcW w:w="468" w:type="pct"/>
            <w:tcBorders>
              <w:top w:val="nil"/>
              <w:left w:val="nil"/>
              <w:bottom w:val="nil"/>
              <w:right w:val="nil"/>
            </w:tcBorders>
            <w:shd w:val="clear" w:color="000000" w:fill="FFFEF9"/>
            <w:noWrap/>
            <w:vAlign w:val="center"/>
            <w:hideMark/>
          </w:tcPr>
          <w:p w14:paraId="63BAC15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132</w:t>
            </w:r>
          </w:p>
        </w:tc>
        <w:tc>
          <w:tcPr>
            <w:tcW w:w="459" w:type="pct"/>
            <w:tcBorders>
              <w:top w:val="nil"/>
              <w:left w:val="nil"/>
              <w:bottom w:val="nil"/>
              <w:right w:val="nil"/>
            </w:tcBorders>
            <w:shd w:val="clear" w:color="000000" w:fill="FFFEF7"/>
            <w:noWrap/>
            <w:vAlign w:val="center"/>
            <w:hideMark/>
          </w:tcPr>
          <w:p w14:paraId="0E9792C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152</w:t>
            </w:r>
          </w:p>
        </w:tc>
        <w:tc>
          <w:tcPr>
            <w:tcW w:w="463" w:type="pct"/>
            <w:tcBorders>
              <w:top w:val="nil"/>
              <w:left w:val="nil"/>
              <w:bottom w:val="nil"/>
              <w:right w:val="nil"/>
            </w:tcBorders>
            <w:shd w:val="clear" w:color="000000" w:fill="FFFEF7"/>
            <w:noWrap/>
            <w:vAlign w:val="center"/>
            <w:hideMark/>
          </w:tcPr>
          <w:p w14:paraId="67E5A46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152</w:t>
            </w:r>
          </w:p>
        </w:tc>
        <w:tc>
          <w:tcPr>
            <w:tcW w:w="357" w:type="pct"/>
            <w:tcBorders>
              <w:top w:val="nil"/>
              <w:left w:val="single" w:sz="4" w:space="0" w:color="auto"/>
              <w:bottom w:val="nil"/>
              <w:right w:val="nil"/>
            </w:tcBorders>
            <w:shd w:val="clear" w:color="000000" w:fill="FFFEF9"/>
            <w:noWrap/>
            <w:vAlign w:val="center"/>
            <w:hideMark/>
          </w:tcPr>
          <w:p w14:paraId="6FE1807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118</w:t>
            </w:r>
          </w:p>
        </w:tc>
        <w:tc>
          <w:tcPr>
            <w:tcW w:w="379" w:type="pct"/>
            <w:tcBorders>
              <w:top w:val="nil"/>
              <w:left w:val="nil"/>
              <w:bottom w:val="nil"/>
              <w:right w:val="nil"/>
            </w:tcBorders>
            <w:shd w:val="clear" w:color="000000" w:fill="FFFEF7"/>
            <w:noWrap/>
            <w:vAlign w:val="center"/>
            <w:hideMark/>
          </w:tcPr>
          <w:p w14:paraId="3909A4F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163</w:t>
            </w:r>
          </w:p>
        </w:tc>
        <w:tc>
          <w:tcPr>
            <w:tcW w:w="379" w:type="pct"/>
            <w:tcBorders>
              <w:top w:val="nil"/>
              <w:left w:val="nil"/>
              <w:bottom w:val="nil"/>
              <w:right w:val="nil"/>
            </w:tcBorders>
            <w:shd w:val="clear" w:color="000000" w:fill="FFFDF5"/>
            <w:noWrap/>
            <w:vAlign w:val="center"/>
            <w:hideMark/>
          </w:tcPr>
          <w:p w14:paraId="420AE58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204</w:t>
            </w:r>
          </w:p>
        </w:tc>
        <w:tc>
          <w:tcPr>
            <w:tcW w:w="559" w:type="pct"/>
            <w:tcBorders>
              <w:top w:val="nil"/>
              <w:left w:val="nil"/>
              <w:bottom w:val="nil"/>
              <w:right w:val="nil"/>
            </w:tcBorders>
            <w:shd w:val="clear" w:color="000000" w:fill="FEFDF3"/>
            <w:noWrap/>
            <w:vAlign w:val="center"/>
            <w:hideMark/>
          </w:tcPr>
          <w:p w14:paraId="37157784" w14:textId="69101B7C"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241 </w:t>
            </w:r>
          </w:p>
        </w:tc>
      </w:tr>
      <w:tr w:rsidR="000C139E" w:rsidRPr="00627DA0" w14:paraId="79E68075" w14:textId="77777777" w:rsidTr="000C139E">
        <w:trPr>
          <w:trHeight w:val="300"/>
        </w:trPr>
        <w:tc>
          <w:tcPr>
            <w:tcW w:w="857" w:type="pct"/>
            <w:tcBorders>
              <w:top w:val="nil"/>
              <w:left w:val="nil"/>
              <w:bottom w:val="nil"/>
              <w:right w:val="nil"/>
            </w:tcBorders>
            <w:noWrap/>
            <w:vAlign w:val="bottom"/>
            <w:hideMark/>
          </w:tcPr>
          <w:p w14:paraId="2DE67D56"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Appliances</w:t>
            </w:r>
          </w:p>
        </w:tc>
        <w:tc>
          <w:tcPr>
            <w:tcW w:w="1080" w:type="pct"/>
            <w:tcBorders>
              <w:top w:val="nil"/>
              <w:left w:val="nil"/>
              <w:bottom w:val="nil"/>
              <w:right w:val="nil"/>
            </w:tcBorders>
            <w:noWrap/>
            <w:vAlign w:val="bottom"/>
            <w:hideMark/>
          </w:tcPr>
          <w:p w14:paraId="7E63141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Dryer</w:t>
            </w:r>
          </w:p>
        </w:tc>
        <w:tc>
          <w:tcPr>
            <w:tcW w:w="468" w:type="pct"/>
            <w:tcBorders>
              <w:top w:val="nil"/>
              <w:left w:val="nil"/>
              <w:bottom w:val="nil"/>
              <w:right w:val="nil"/>
            </w:tcBorders>
            <w:shd w:val="clear" w:color="000000" w:fill="FFFFFD"/>
            <w:noWrap/>
            <w:vAlign w:val="center"/>
            <w:hideMark/>
          </w:tcPr>
          <w:p w14:paraId="3A06E45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56</w:t>
            </w:r>
          </w:p>
        </w:tc>
        <w:tc>
          <w:tcPr>
            <w:tcW w:w="459" w:type="pct"/>
            <w:tcBorders>
              <w:top w:val="nil"/>
              <w:left w:val="nil"/>
              <w:bottom w:val="nil"/>
              <w:right w:val="nil"/>
            </w:tcBorders>
            <w:shd w:val="clear" w:color="000000" w:fill="FFFFFC"/>
            <w:noWrap/>
            <w:vAlign w:val="center"/>
            <w:hideMark/>
          </w:tcPr>
          <w:p w14:paraId="3572AEC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66</w:t>
            </w:r>
          </w:p>
        </w:tc>
        <w:tc>
          <w:tcPr>
            <w:tcW w:w="463" w:type="pct"/>
            <w:tcBorders>
              <w:top w:val="nil"/>
              <w:left w:val="nil"/>
              <w:bottom w:val="nil"/>
              <w:right w:val="nil"/>
            </w:tcBorders>
            <w:shd w:val="clear" w:color="000000" w:fill="FFFFFC"/>
            <w:noWrap/>
            <w:vAlign w:val="center"/>
            <w:hideMark/>
          </w:tcPr>
          <w:p w14:paraId="0BA6F11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66</w:t>
            </w:r>
          </w:p>
        </w:tc>
        <w:tc>
          <w:tcPr>
            <w:tcW w:w="357" w:type="pct"/>
            <w:tcBorders>
              <w:top w:val="nil"/>
              <w:left w:val="single" w:sz="4" w:space="0" w:color="auto"/>
              <w:bottom w:val="nil"/>
              <w:right w:val="nil"/>
            </w:tcBorders>
            <w:shd w:val="clear" w:color="000000" w:fill="FFFFFE"/>
            <w:noWrap/>
            <w:vAlign w:val="center"/>
            <w:hideMark/>
          </w:tcPr>
          <w:p w14:paraId="1E7BC41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34</w:t>
            </w:r>
          </w:p>
        </w:tc>
        <w:tc>
          <w:tcPr>
            <w:tcW w:w="379" w:type="pct"/>
            <w:tcBorders>
              <w:top w:val="nil"/>
              <w:left w:val="nil"/>
              <w:bottom w:val="nil"/>
              <w:right w:val="nil"/>
            </w:tcBorders>
            <w:shd w:val="clear" w:color="000000" w:fill="FFFFFC"/>
            <w:noWrap/>
            <w:vAlign w:val="center"/>
            <w:hideMark/>
          </w:tcPr>
          <w:p w14:paraId="0D1D894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67</w:t>
            </w:r>
          </w:p>
        </w:tc>
        <w:tc>
          <w:tcPr>
            <w:tcW w:w="379" w:type="pct"/>
            <w:tcBorders>
              <w:top w:val="nil"/>
              <w:left w:val="nil"/>
              <w:bottom w:val="nil"/>
              <w:right w:val="nil"/>
            </w:tcBorders>
            <w:shd w:val="clear" w:color="000000" w:fill="FFFEF9"/>
            <w:noWrap/>
            <w:vAlign w:val="center"/>
            <w:hideMark/>
          </w:tcPr>
          <w:p w14:paraId="412959F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115</w:t>
            </w:r>
          </w:p>
        </w:tc>
        <w:tc>
          <w:tcPr>
            <w:tcW w:w="559" w:type="pct"/>
            <w:tcBorders>
              <w:top w:val="nil"/>
              <w:left w:val="nil"/>
              <w:bottom w:val="nil"/>
              <w:right w:val="nil"/>
            </w:tcBorders>
            <w:shd w:val="clear" w:color="000000" w:fill="FFFEF6"/>
            <w:noWrap/>
            <w:vAlign w:val="center"/>
            <w:hideMark/>
          </w:tcPr>
          <w:p w14:paraId="6A6D3065" w14:textId="29EEB7B2"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185 </w:t>
            </w:r>
          </w:p>
        </w:tc>
      </w:tr>
      <w:tr w:rsidR="000C139E" w:rsidRPr="00627DA0" w14:paraId="2FF4EEEC" w14:textId="77777777" w:rsidTr="000C139E">
        <w:trPr>
          <w:trHeight w:val="300"/>
        </w:trPr>
        <w:tc>
          <w:tcPr>
            <w:tcW w:w="857" w:type="pct"/>
            <w:tcBorders>
              <w:top w:val="nil"/>
              <w:left w:val="nil"/>
              <w:bottom w:val="nil"/>
              <w:right w:val="nil"/>
            </w:tcBorders>
            <w:noWrap/>
            <w:vAlign w:val="bottom"/>
            <w:hideMark/>
          </w:tcPr>
          <w:p w14:paraId="1ADB0CAE"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Appliances</w:t>
            </w:r>
          </w:p>
        </w:tc>
        <w:tc>
          <w:tcPr>
            <w:tcW w:w="1080" w:type="pct"/>
            <w:tcBorders>
              <w:top w:val="nil"/>
              <w:left w:val="nil"/>
              <w:bottom w:val="nil"/>
              <w:right w:val="nil"/>
            </w:tcBorders>
            <w:noWrap/>
            <w:vAlign w:val="bottom"/>
            <w:hideMark/>
          </w:tcPr>
          <w:p w14:paraId="60823292"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Freezer</w:t>
            </w:r>
          </w:p>
        </w:tc>
        <w:tc>
          <w:tcPr>
            <w:tcW w:w="468" w:type="pct"/>
            <w:tcBorders>
              <w:top w:val="nil"/>
              <w:left w:val="nil"/>
              <w:bottom w:val="nil"/>
              <w:right w:val="nil"/>
            </w:tcBorders>
            <w:shd w:val="clear" w:color="000000" w:fill="FFFFFF"/>
            <w:noWrap/>
            <w:vAlign w:val="center"/>
            <w:hideMark/>
          </w:tcPr>
          <w:p w14:paraId="7DDAF03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533D69E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7613D41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71BCAA7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4</w:t>
            </w:r>
          </w:p>
        </w:tc>
        <w:tc>
          <w:tcPr>
            <w:tcW w:w="379" w:type="pct"/>
            <w:tcBorders>
              <w:top w:val="nil"/>
              <w:left w:val="nil"/>
              <w:bottom w:val="nil"/>
              <w:right w:val="nil"/>
            </w:tcBorders>
            <w:shd w:val="clear" w:color="000000" w:fill="FFFFFF"/>
            <w:noWrap/>
            <w:vAlign w:val="center"/>
            <w:hideMark/>
          </w:tcPr>
          <w:p w14:paraId="6DE523F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w:t>
            </w:r>
          </w:p>
        </w:tc>
        <w:tc>
          <w:tcPr>
            <w:tcW w:w="379" w:type="pct"/>
            <w:tcBorders>
              <w:top w:val="nil"/>
              <w:left w:val="nil"/>
              <w:bottom w:val="nil"/>
              <w:right w:val="nil"/>
            </w:tcBorders>
            <w:shd w:val="clear" w:color="000000" w:fill="FFFFFF"/>
            <w:noWrap/>
            <w:vAlign w:val="center"/>
            <w:hideMark/>
          </w:tcPr>
          <w:p w14:paraId="0AA2DC7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12</w:t>
            </w:r>
          </w:p>
        </w:tc>
        <w:tc>
          <w:tcPr>
            <w:tcW w:w="559" w:type="pct"/>
            <w:tcBorders>
              <w:top w:val="nil"/>
              <w:left w:val="nil"/>
              <w:bottom w:val="nil"/>
              <w:right w:val="nil"/>
            </w:tcBorders>
            <w:shd w:val="clear" w:color="000000" w:fill="FFFFFE"/>
            <w:noWrap/>
            <w:vAlign w:val="center"/>
            <w:hideMark/>
          </w:tcPr>
          <w:p w14:paraId="24F040DC" w14:textId="047356E2"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20 </w:t>
            </w:r>
          </w:p>
        </w:tc>
      </w:tr>
      <w:tr w:rsidR="000C139E" w:rsidRPr="00627DA0" w14:paraId="648700F6" w14:textId="77777777" w:rsidTr="000C139E">
        <w:trPr>
          <w:trHeight w:val="300"/>
        </w:trPr>
        <w:tc>
          <w:tcPr>
            <w:tcW w:w="857" w:type="pct"/>
            <w:tcBorders>
              <w:top w:val="nil"/>
              <w:left w:val="nil"/>
              <w:bottom w:val="nil"/>
              <w:right w:val="nil"/>
            </w:tcBorders>
            <w:noWrap/>
            <w:vAlign w:val="bottom"/>
            <w:hideMark/>
          </w:tcPr>
          <w:p w14:paraId="627E93A5"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Appliances</w:t>
            </w:r>
          </w:p>
        </w:tc>
        <w:tc>
          <w:tcPr>
            <w:tcW w:w="1080" w:type="pct"/>
            <w:tcBorders>
              <w:top w:val="nil"/>
              <w:left w:val="nil"/>
              <w:bottom w:val="nil"/>
              <w:right w:val="nil"/>
            </w:tcBorders>
            <w:noWrap/>
            <w:vAlign w:val="bottom"/>
            <w:hideMark/>
          </w:tcPr>
          <w:p w14:paraId="2CF31ED3"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Refrigerator</w:t>
            </w:r>
          </w:p>
        </w:tc>
        <w:tc>
          <w:tcPr>
            <w:tcW w:w="468" w:type="pct"/>
            <w:tcBorders>
              <w:top w:val="nil"/>
              <w:left w:val="nil"/>
              <w:bottom w:val="nil"/>
              <w:right w:val="nil"/>
            </w:tcBorders>
            <w:shd w:val="clear" w:color="000000" w:fill="FFFFFC"/>
            <w:noWrap/>
            <w:vAlign w:val="center"/>
            <w:hideMark/>
          </w:tcPr>
          <w:p w14:paraId="05F23E2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75</w:t>
            </w:r>
          </w:p>
        </w:tc>
        <w:tc>
          <w:tcPr>
            <w:tcW w:w="459" w:type="pct"/>
            <w:tcBorders>
              <w:top w:val="nil"/>
              <w:left w:val="nil"/>
              <w:bottom w:val="nil"/>
              <w:right w:val="nil"/>
            </w:tcBorders>
            <w:shd w:val="clear" w:color="000000" w:fill="FFFFFB"/>
            <w:noWrap/>
            <w:vAlign w:val="center"/>
            <w:hideMark/>
          </w:tcPr>
          <w:p w14:paraId="3946115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88</w:t>
            </w:r>
          </w:p>
        </w:tc>
        <w:tc>
          <w:tcPr>
            <w:tcW w:w="463" w:type="pct"/>
            <w:tcBorders>
              <w:top w:val="nil"/>
              <w:left w:val="nil"/>
              <w:bottom w:val="nil"/>
              <w:right w:val="nil"/>
            </w:tcBorders>
            <w:shd w:val="clear" w:color="000000" w:fill="FFFFFB"/>
            <w:noWrap/>
            <w:vAlign w:val="center"/>
            <w:hideMark/>
          </w:tcPr>
          <w:p w14:paraId="5013130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86</w:t>
            </w:r>
          </w:p>
        </w:tc>
        <w:tc>
          <w:tcPr>
            <w:tcW w:w="357" w:type="pct"/>
            <w:tcBorders>
              <w:top w:val="nil"/>
              <w:left w:val="single" w:sz="4" w:space="0" w:color="auto"/>
              <w:bottom w:val="nil"/>
              <w:right w:val="nil"/>
            </w:tcBorders>
            <w:shd w:val="clear" w:color="000000" w:fill="FFFFFD"/>
            <w:noWrap/>
            <w:vAlign w:val="center"/>
            <w:hideMark/>
          </w:tcPr>
          <w:p w14:paraId="06CE2C7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56</w:t>
            </w:r>
          </w:p>
        </w:tc>
        <w:tc>
          <w:tcPr>
            <w:tcW w:w="379" w:type="pct"/>
            <w:tcBorders>
              <w:top w:val="nil"/>
              <w:left w:val="nil"/>
              <w:bottom w:val="nil"/>
              <w:right w:val="nil"/>
            </w:tcBorders>
            <w:shd w:val="clear" w:color="000000" w:fill="FFFFFC"/>
            <w:noWrap/>
            <w:vAlign w:val="center"/>
            <w:hideMark/>
          </w:tcPr>
          <w:p w14:paraId="2E8CB62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75</w:t>
            </w:r>
          </w:p>
        </w:tc>
        <w:tc>
          <w:tcPr>
            <w:tcW w:w="379" w:type="pct"/>
            <w:tcBorders>
              <w:top w:val="nil"/>
              <w:left w:val="nil"/>
              <w:bottom w:val="nil"/>
              <w:right w:val="nil"/>
            </w:tcBorders>
            <w:shd w:val="clear" w:color="000000" w:fill="FFFFFB"/>
            <w:noWrap/>
            <w:vAlign w:val="center"/>
            <w:hideMark/>
          </w:tcPr>
          <w:p w14:paraId="6735101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91</w:t>
            </w:r>
          </w:p>
        </w:tc>
        <w:tc>
          <w:tcPr>
            <w:tcW w:w="559" w:type="pct"/>
            <w:tcBorders>
              <w:top w:val="nil"/>
              <w:left w:val="nil"/>
              <w:bottom w:val="nil"/>
              <w:right w:val="nil"/>
            </w:tcBorders>
            <w:shd w:val="clear" w:color="000000" w:fill="FFFEFA"/>
            <w:noWrap/>
            <w:vAlign w:val="center"/>
            <w:hideMark/>
          </w:tcPr>
          <w:p w14:paraId="79B65FD2" w14:textId="3186AA9F"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106 </w:t>
            </w:r>
          </w:p>
        </w:tc>
      </w:tr>
      <w:tr w:rsidR="000C139E" w:rsidRPr="00627DA0" w14:paraId="46422D1E" w14:textId="77777777" w:rsidTr="000C139E">
        <w:trPr>
          <w:trHeight w:val="300"/>
        </w:trPr>
        <w:tc>
          <w:tcPr>
            <w:tcW w:w="857" w:type="pct"/>
            <w:tcBorders>
              <w:top w:val="nil"/>
              <w:left w:val="nil"/>
              <w:bottom w:val="nil"/>
              <w:right w:val="nil"/>
            </w:tcBorders>
            <w:noWrap/>
            <w:vAlign w:val="bottom"/>
            <w:hideMark/>
          </w:tcPr>
          <w:p w14:paraId="2A3CB902"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Cooking</w:t>
            </w:r>
          </w:p>
        </w:tc>
        <w:tc>
          <w:tcPr>
            <w:tcW w:w="1080" w:type="pct"/>
            <w:tcBorders>
              <w:top w:val="nil"/>
              <w:left w:val="nil"/>
              <w:bottom w:val="nil"/>
              <w:right w:val="nil"/>
            </w:tcBorders>
            <w:noWrap/>
            <w:vAlign w:val="bottom"/>
            <w:hideMark/>
          </w:tcPr>
          <w:p w14:paraId="76923AD2"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Microwave</w:t>
            </w:r>
          </w:p>
        </w:tc>
        <w:tc>
          <w:tcPr>
            <w:tcW w:w="468" w:type="pct"/>
            <w:tcBorders>
              <w:top w:val="nil"/>
              <w:left w:val="nil"/>
              <w:bottom w:val="nil"/>
              <w:right w:val="nil"/>
            </w:tcBorders>
            <w:shd w:val="clear" w:color="000000" w:fill="FFFFFF"/>
            <w:noWrap/>
            <w:vAlign w:val="center"/>
            <w:hideMark/>
          </w:tcPr>
          <w:p w14:paraId="62E773D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6454BC9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21D344B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40FF2CB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1863505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350D9D4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w:t>
            </w:r>
          </w:p>
        </w:tc>
        <w:tc>
          <w:tcPr>
            <w:tcW w:w="559" w:type="pct"/>
            <w:tcBorders>
              <w:top w:val="nil"/>
              <w:left w:val="nil"/>
              <w:bottom w:val="nil"/>
              <w:right w:val="nil"/>
            </w:tcBorders>
            <w:shd w:val="clear" w:color="000000" w:fill="FFFFFF"/>
            <w:noWrap/>
            <w:vAlign w:val="center"/>
            <w:hideMark/>
          </w:tcPr>
          <w:p w14:paraId="665782CF" w14:textId="0DD25394"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4 </w:t>
            </w:r>
          </w:p>
        </w:tc>
      </w:tr>
      <w:tr w:rsidR="000C139E" w:rsidRPr="00627DA0" w14:paraId="4444E882" w14:textId="77777777" w:rsidTr="000C139E">
        <w:trPr>
          <w:trHeight w:val="300"/>
        </w:trPr>
        <w:tc>
          <w:tcPr>
            <w:tcW w:w="857" w:type="pct"/>
            <w:tcBorders>
              <w:top w:val="nil"/>
              <w:left w:val="nil"/>
              <w:bottom w:val="nil"/>
              <w:right w:val="nil"/>
            </w:tcBorders>
            <w:noWrap/>
            <w:vAlign w:val="bottom"/>
            <w:hideMark/>
          </w:tcPr>
          <w:p w14:paraId="73C9C3A4"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Cooking</w:t>
            </w:r>
          </w:p>
        </w:tc>
        <w:tc>
          <w:tcPr>
            <w:tcW w:w="1080" w:type="pct"/>
            <w:tcBorders>
              <w:top w:val="nil"/>
              <w:left w:val="nil"/>
              <w:bottom w:val="nil"/>
              <w:right w:val="nil"/>
            </w:tcBorders>
            <w:noWrap/>
            <w:vAlign w:val="bottom"/>
            <w:hideMark/>
          </w:tcPr>
          <w:p w14:paraId="1E63726D"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Oven</w:t>
            </w:r>
          </w:p>
        </w:tc>
        <w:tc>
          <w:tcPr>
            <w:tcW w:w="468" w:type="pct"/>
            <w:tcBorders>
              <w:top w:val="nil"/>
              <w:left w:val="nil"/>
              <w:bottom w:val="nil"/>
              <w:right w:val="nil"/>
            </w:tcBorders>
            <w:shd w:val="clear" w:color="000000" w:fill="FFFFFF"/>
            <w:noWrap/>
            <w:vAlign w:val="center"/>
            <w:hideMark/>
          </w:tcPr>
          <w:p w14:paraId="68297F3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1B021CA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3B10F01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13D713D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3D202FFD"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16DDC87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559" w:type="pct"/>
            <w:tcBorders>
              <w:top w:val="nil"/>
              <w:left w:val="nil"/>
              <w:bottom w:val="nil"/>
              <w:right w:val="nil"/>
            </w:tcBorders>
            <w:shd w:val="clear" w:color="000000" w:fill="FFFFFF"/>
            <w:noWrap/>
            <w:vAlign w:val="center"/>
            <w:hideMark/>
          </w:tcPr>
          <w:p w14:paraId="555F4E1F" w14:textId="3169F184"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1 </w:t>
            </w:r>
          </w:p>
        </w:tc>
      </w:tr>
      <w:tr w:rsidR="000C139E" w:rsidRPr="00627DA0" w14:paraId="79896D17" w14:textId="77777777" w:rsidTr="000C139E">
        <w:trPr>
          <w:trHeight w:val="300"/>
        </w:trPr>
        <w:tc>
          <w:tcPr>
            <w:tcW w:w="857" w:type="pct"/>
            <w:tcBorders>
              <w:top w:val="nil"/>
              <w:left w:val="nil"/>
              <w:bottom w:val="nil"/>
              <w:right w:val="nil"/>
            </w:tcBorders>
            <w:noWrap/>
            <w:vAlign w:val="bottom"/>
            <w:hideMark/>
          </w:tcPr>
          <w:p w14:paraId="229896A0"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Electronics</w:t>
            </w:r>
          </w:p>
        </w:tc>
        <w:tc>
          <w:tcPr>
            <w:tcW w:w="1080" w:type="pct"/>
            <w:tcBorders>
              <w:top w:val="nil"/>
              <w:left w:val="nil"/>
              <w:bottom w:val="nil"/>
              <w:right w:val="nil"/>
            </w:tcBorders>
            <w:noWrap/>
            <w:vAlign w:val="bottom"/>
            <w:hideMark/>
          </w:tcPr>
          <w:p w14:paraId="52D731F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Advanced Power Strips</w:t>
            </w:r>
          </w:p>
        </w:tc>
        <w:tc>
          <w:tcPr>
            <w:tcW w:w="468" w:type="pct"/>
            <w:tcBorders>
              <w:top w:val="nil"/>
              <w:left w:val="nil"/>
              <w:bottom w:val="nil"/>
              <w:right w:val="nil"/>
            </w:tcBorders>
            <w:shd w:val="clear" w:color="000000" w:fill="FFFFFB"/>
            <w:noWrap/>
            <w:vAlign w:val="center"/>
            <w:hideMark/>
          </w:tcPr>
          <w:p w14:paraId="24A4D9A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87</w:t>
            </w:r>
          </w:p>
        </w:tc>
        <w:tc>
          <w:tcPr>
            <w:tcW w:w="459" w:type="pct"/>
            <w:tcBorders>
              <w:top w:val="nil"/>
              <w:left w:val="nil"/>
              <w:bottom w:val="nil"/>
              <w:right w:val="nil"/>
            </w:tcBorders>
            <w:shd w:val="clear" w:color="000000" w:fill="FFFFFF"/>
            <w:noWrap/>
            <w:vAlign w:val="center"/>
            <w:hideMark/>
          </w:tcPr>
          <w:p w14:paraId="633DA37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463" w:type="pct"/>
            <w:tcBorders>
              <w:top w:val="nil"/>
              <w:left w:val="nil"/>
              <w:bottom w:val="nil"/>
              <w:right w:val="nil"/>
            </w:tcBorders>
            <w:shd w:val="clear" w:color="000000" w:fill="FFFFFF"/>
            <w:noWrap/>
            <w:vAlign w:val="center"/>
            <w:hideMark/>
          </w:tcPr>
          <w:p w14:paraId="4EB606D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57" w:type="pct"/>
            <w:tcBorders>
              <w:top w:val="nil"/>
              <w:left w:val="single" w:sz="4" w:space="0" w:color="auto"/>
              <w:bottom w:val="nil"/>
              <w:right w:val="nil"/>
            </w:tcBorders>
            <w:shd w:val="clear" w:color="000000" w:fill="FFFFFF"/>
            <w:noWrap/>
            <w:vAlign w:val="center"/>
            <w:hideMark/>
          </w:tcPr>
          <w:p w14:paraId="38315FC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5934A19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5329376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559" w:type="pct"/>
            <w:tcBorders>
              <w:top w:val="nil"/>
              <w:left w:val="nil"/>
              <w:bottom w:val="nil"/>
              <w:right w:val="nil"/>
            </w:tcBorders>
            <w:shd w:val="clear" w:color="000000" w:fill="FFFFFF"/>
            <w:noWrap/>
            <w:vAlign w:val="center"/>
            <w:hideMark/>
          </w:tcPr>
          <w:p w14:paraId="6F3FB180" w14:textId="20548FEE"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   </w:t>
            </w:r>
          </w:p>
        </w:tc>
      </w:tr>
      <w:tr w:rsidR="000C139E" w:rsidRPr="00627DA0" w14:paraId="07B3B4CD" w14:textId="77777777" w:rsidTr="000C139E">
        <w:trPr>
          <w:trHeight w:val="300"/>
        </w:trPr>
        <w:tc>
          <w:tcPr>
            <w:tcW w:w="857" w:type="pct"/>
            <w:tcBorders>
              <w:top w:val="nil"/>
              <w:left w:val="nil"/>
              <w:bottom w:val="nil"/>
              <w:right w:val="nil"/>
            </w:tcBorders>
            <w:noWrap/>
            <w:vAlign w:val="bottom"/>
            <w:hideMark/>
          </w:tcPr>
          <w:p w14:paraId="282AF34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Electronics</w:t>
            </w:r>
          </w:p>
        </w:tc>
        <w:tc>
          <w:tcPr>
            <w:tcW w:w="1080" w:type="pct"/>
            <w:tcBorders>
              <w:top w:val="nil"/>
              <w:left w:val="nil"/>
              <w:bottom w:val="nil"/>
              <w:right w:val="nil"/>
            </w:tcBorders>
            <w:noWrap/>
            <w:vAlign w:val="bottom"/>
            <w:hideMark/>
          </w:tcPr>
          <w:p w14:paraId="12C3E89A"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Desktop</w:t>
            </w:r>
          </w:p>
        </w:tc>
        <w:tc>
          <w:tcPr>
            <w:tcW w:w="468" w:type="pct"/>
            <w:tcBorders>
              <w:top w:val="nil"/>
              <w:left w:val="nil"/>
              <w:bottom w:val="nil"/>
              <w:right w:val="nil"/>
            </w:tcBorders>
            <w:shd w:val="clear" w:color="000000" w:fill="FFFFFF"/>
            <w:noWrap/>
            <w:vAlign w:val="center"/>
            <w:hideMark/>
          </w:tcPr>
          <w:p w14:paraId="00BF0E7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10</w:t>
            </w:r>
          </w:p>
        </w:tc>
        <w:tc>
          <w:tcPr>
            <w:tcW w:w="459" w:type="pct"/>
            <w:tcBorders>
              <w:top w:val="nil"/>
              <w:left w:val="nil"/>
              <w:bottom w:val="nil"/>
              <w:right w:val="nil"/>
            </w:tcBorders>
            <w:shd w:val="clear" w:color="000000" w:fill="FFFFFF"/>
            <w:noWrap/>
            <w:vAlign w:val="center"/>
            <w:hideMark/>
          </w:tcPr>
          <w:p w14:paraId="3C9A159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12</w:t>
            </w:r>
          </w:p>
        </w:tc>
        <w:tc>
          <w:tcPr>
            <w:tcW w:w="463" w:type="pct"/>
            <w:tcBorders>
              <w:top w:val="nil"/>
              <w:left w:val="nil"/>
              <w:bottom w:val="nil"/>
              <w:right w:val="nil"/>
            </w:tcBorders>
            <w:shd w:val="clear" w:color="000000" w:fill="FFFFFF"/>
            <w:noWrap/>
            <w:vAlign w:val="center"/>
            <w:hideMark/>
          </w:tcPr>
          <w:p w14:paraId="7E3B041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12</w:t>
            </w:r>
          </w:p>
        </w:tc>
        <w:tc>
          <w:tcPr>
            <w:tcW w:w="357" w:type="pct"/>
            <w:tcBorders>
              <w:top w:val="nil"/>
              <w:left w:val="single" w:sz="4" w:space="0" w:color="auto"/>
              <w:bottom w:val="nil"/>
              <w:right w:val="nil"/>
            </w:tcBorders>
            <w:shd w:val="clear" w:color="000000" w:fill="FFFFFF"/>
            <w:noWrap/>
            <w:vAlign w:val="center"/>
            <w:hideMark/>
          </w:tcPr>
          <w:p w14:paraId="3918E18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0A91364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7FDC6F7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559" w:type="pct"/>
            <w:tcBorders>
              <w:top w:val="nil"/>
              <w:left w:val="nil"/>
              <w:bottom w:val="nil"/>
              <w:right w:val="nil"/>
            </w:tcBorders>
            <w:shd w:val="clear" w:color="000000" w:fill="FFFFFF"/>
            <w:noWrap/>
            <w:vAlign w:val="center"/>
            <w:hideMark/>
          </w:tcPr>
          <w:p w14:paraId="46AD76CF" w14:textId="2B09330B"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   </w:t>
            </w:r>
          </w:p>
        </w:tc>
      </w:tr>
      <w:tr w:rsidR="000C139E" w:rsidRPr="00627DA0" w14:paraId="31174250" w14:textId="77777777" w:rsidTr="000C139E">
        <w:trPr>
          <w:trHeight w:val="300"/>
        </w:trPr>
        <w:tc>
          <w:tcPr>
            <w:tcW w:w="857" w:type="pct"/>
            <w:tcBorders>
              <w:top w:val="nil"/>
              <w:left w:val="nil"/>
              <w:bottom w:val="nil"/>
              <w:right w:val="nil"/>
            </w:tcBorders>
            <w:noWrap/>
            <w:vAlign w:val="bottom"/>
            <w:hideMark/>
          </w:tcPr>
          <w:p w14:paraId="142BC889"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Electronics</w:t>
            </w:r>
          </w:p>
        </w:tc>
        <w:tc>
          <w:tcPr>
            <w:tcW w:w="1080" w:type="pct"/>
            <w:tcBorders>
              <w:top w:val="nil"/>
              <w:left w:val="nil"/>
              <w:bottom w:val="nil"/>
              <w:right w:val="nil"/>
            </w:tcBorders>
            <w:noWrap/>
            <w:vAlign w:val="bottom"/>
            <w:hideMark/>
          </w:tcPr>
          <w:p w14:paraId="6EB8DBC0"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Laptop</w:t>
            </w:r>
          </w:p>
        </w:tc>
        <w:tc>
          <w:tcPr>
            <w:tcW w:w="468" w:type="pct"/>
            <w:tcBorders>
              <w:top w:val="nil"/>
              <w:left w:val="nil"/>
              <w:bottom w:val="nil"/>
              <w:right w:val="nil"/>
            </w:tcBorders>
            <w:shd w:val="clear" w:color="000000" w:fill="FFFFFF"/>
            <w:noWrap/>
            <w:vAlign w:val="center"/>
            <w:hideMark/>
          </w:tcPr>
          <w:p w14:paraId="44D3467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78441F6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68764F4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1DCCE12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57E6D7D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w:t>
            </w:r>
          </w:p>
        </w:tc>
        <w:tc>
          <w:tcPr>
            <w:tcW w:w="379" w:type="pct"/>
            <w:tcBorders>
              <w:top w:val="nil"/>
              <w:left w:val="nil"/>
              <w:bottom w:val="nil"/>
              <w:right w:val="nil"/>
            </w:tcBorders>
            <w:shd w:val="clear" w:color="000000" w:fill="FFFFFF"/>
            <w:noWrap/>
            <w:vAlign w:val="center"/>
            <w:hideMark/>
          </w:tcPr>
          <w:p w14:paraId="4DF2DC7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3</w:t>
            </w:r>
          </w:p>
        </w:tc>
        <w:tc>
          <w:tcPr>
            <w:tcW w:w="559" w:type="pct"/>
            <w:tcBorders>
              <w:top w:val="nil"/>
              <w:left w:val="nil"/>
              <w:bottom w:val="nil"/>
              <w:right w:val="nil"/>
            </w:tcBorders>
            <w:shd w:val="clear" w:color="000000" w:fill="FFFFFF"/>
            <w:noWrap/>
            <w:vAlign w:val="center"/>
            <w:hideMark/>
          </w:tcPr>
          <w:p w14:paraId="7900DC7B" w14:textId="334E696A"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5 </w:t>
            </w:r>
          </w:p>
        </w:tc>
      </w:tr>
      <w:tr w:rsidR="000C139E" w:rsidRPr="00627DA0" w14:paraId="5056CD67" w14:textId="77777777" w:rsidTr="000C139E">
        <w:trPr>
          <w:trHeight w:val="300"/>
        </w:trPr>
        <w:tc>
          <w:tcPr>
            <w:tcW w:w="857" w:type="pct"/>
            <w:tcBorders>
              <w:top w:val="nil"/>
              <w:left w:val="nil"/>
              <w:bottom w:val="nil"/>
              <w:right w:val="nil"/>
            </w:tcBorders>
            <w:noWrap/>
            <w:vAlign w:val="bottom"/>
            <w:hideMark/>
          </w:tcPr>
          <w:p w14:paraId="6457B2A1"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Electronics</w:t>
            </w:r>
          </w:p>
        </w:tc>
        <w:tc>
          <w:tcPr>
            <w:tcW w:w="1080" w:type="pct"/>
            <w:tcBorders>
              <w:top w:val="nil"/>
              <w:left w:val="nil"/>
              <w:bottom w:val="nil"/>
              <w:right w:val="nil"/>
            </w:tcBorders>
            <w:noWrap/>
            <w:vAlign w:val="bottom"/>
            <w:hideMark/>
          </w:tcPr>
          <w:p w14:paraId="136CB3D7"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TV</w:t>
            </w:r>
          </w:p>
        </w:tc>
        <w:tc>
          <w:tcPr>
            <w:tcW w:w="468" w:type="pct"/>
            <w:tcBorders>
              <w:top w:val="nil"/>
              <w:left w:val="nil"/>
              <w:bottom w:val="nil"/>
              <w:right w:val="nil"/>
            </w:tcBorders>
            <w:shd w:val="clear" w:color="000000" w:fill="FFFFFF"/>
            <w:noWrap/>
            <w:vAlign w:val="center"/>
            <w:hideMark/>
          </w:tcPr>
          <w:p w14:paraId="4C3C016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350F363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239EEB3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22B268A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w:t>
            </w:r>
          </w:p>
        </w:tc>
        <w:tc>
          <w:tcPr>
            <w:tcW w:w="379" w:type="pct"/>
            <w:tcBorders>
              <w:top w:val="nil"/>
              <w:left w:val="nil"/>
              <w:bottom w:val="nil"/>
              <w:right w:val="nil"/>
            </w:tcBorders>
            <w:shd w:val="clear" w:color="000000" w:fill="FFFFFF"/>
            <w:noWrap/>
            <w:vAlign w:val="center"/>
            <w:hideMark/>
          </w:tcPr>
          <w:p w14:paraId="3165E06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14</w:t>
            </w:r>
          </w:p>
        </w:tc>
        <w:tc>
          <w:tcPr>
            <w:tcW w:w="379" w:type="pct"/>
            <w:tcBorders>
              <w:top w:val="nil"/>
              <w:left w:val="nil"/>
              <w:bottom w:val="nil"/>
              <w:right w:val="nil"/>
            </w:tcBorders>
            <w:shd w:val="clear" w:color="000000" w:fill="FFFFFE"/>
            <w:noWrap/>
            <w:vAlign w:val="center"/>
            <w:hideMark/>
          </w:tcPr>
          <w:p w14:paraId="2C5EB46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24</w:t>
            </w:r>
          </w:p>
        </w:tc>
        <w:tc>
          <w:tcPr>
            <w:tcW w:w="559" w:type="pct"/>
            <w:tcBorders>
              <w:top w:val="nil"/>
              <w:left w:val="nil"/>
              <w:bottom w:val="nil"/>
              <w:right w:val="nil"/>
            </w:tcBorders>
            <w:shd w:val="clear" w:color="000000" w:fill="FFFFFE"/>
            <w:noWrap/>
            <w:vAlign w:val="center"/>
            <w:hideMark/>
          </w:tcPr>
          <w:p w14:paraId="483C6761" w14:textId="38AAE5FC"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38 </w:t>
            </w:r>
          </w:p>
        </w:tc>
      </w:tr>
      <w:tr w:rsidR="000C139E" w:rsidRPr="00627DA0" w14:paraId="7CECABFB" w14:textId="77777777" w:rsidTr="000C139E">
        <w:trPr>
          <w:trHeight w:val="300"/>
        </w:trPr>
        <w:tc>
          <w:tcPr>
            <w:tcW w:w="857" w:type="pct"/>
            <w:tcBorders>
              <w:top w:val="nil"/>
              <w:left w:val="nil"/>
              <w:bottom w:val="nil"/>
              <w:right w:val="nil"/>
            </w:tcBorders>
            <w:noWrap/>
            <w:vAlign w:val="bottom"/>
            <w:hideMark/>
          </w:tcPr>
          <w:p w14:paraId="2D12C81A"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44936590"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ASHP</w:t>
            </w:r>
          </w:p>
        </w:tc>
        <w:tc>
          <w:tcPr>
            <w:tcW w:w="468" w:type="pct"/>
            <w:tcBorders>
              <w:top w:val="nil"/>
              <w:left w:val="nil"/>
              <w:bottom w:val="nil"/>
              <w:right w:val="nil"/>
            </w:tcBorders>
            <w:shd w:val="clear" w:color="000000" w:fill="FEFDF2"/>
            <w:noWrap/>
            <w:vAlign w:val="center"/>
            <w:hideMark/>
          </w:tcPr>
          <w:p w14:paraId="65AC102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252</w:t>
            </w:r>
          </w:p>
        </w:tc>
        <w:tc>
          <w:tcPr>
            <w:tcW w:w="459" w:type="pct"/>
            <w:tcBorders>
              <w:top w:val="nil"/>
              <w:left w:val="nil"/>
              <w:bottom w:val="nil"/>
              <w:right w:val="nil"/>
            </w:tcBorders>
            <w:shd w:val="clear" w:color="000000" w:fill="FFFEF8"/>
            <w:noWrap/>
            <w:vAlign w:val="center"/>
            <w:hideMark/>
          </w:tcPr>
          <w:p w14:paraId="14F506B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149</w:t>
            </w:r>
          </w:p>
        </w:tc>
        <w:tc>
          <w:tcPr>
            <w:tcW w:w="463" w:type="pct"/>
            <w:tcBorders>
              <w:top w:val="nil"/>
              <w:left w:val="nil"/>
              <w:bottom w:val="nil"/>
              <w:right w:val="nil"/>
            </w:tcBorders>
            <w:shd w:val="clear" w:color="000000" w:fill="FFFEFA"/>
            <w:noWrap/>
            <w:vAlign w:val="center"/>
            <w:hideMark/>
          </w:tcPr>
          <w:p w14:paraId="170F135D"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106</w:t>
            </w:r>
          </w:p>
        </w:tc>
        <w:tc>
          <w:tcPr>
            <w:tcW w:w="357" w:type="pct"/>
            <w:tcBorders>
              <w:top w:val="nil"/>
              <w:left w:val="single" w:sz="4" w:space="0" w:color="auto"/>
              <w:bottom w:val="nil"/>
              <w:right w:val="nil"/>
            </w:tcBorders>
            <w:shd w:val="clear" w:color="000000" w:fill="FFFFFC"/>
            <w:noWrap/>
            <w:vAlign w:val="center"/>
            <w:hideMark/>
          </w:tcPr>
          <w:p w14:paraId="3866A6C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69</w:t>
            </w:r>
          </w:p>
        </w:tc>
        <w:tc>
          <w:tcPr>
            <w:tcW w:w="379" w:type="pct"/>
            <w:tcBorders>
              <w:top w:val="nil"/>
              <w:left w:val="nil"/>
              <w:bottom w:val="nil"/>
              <w:right w:val="nil"/>
            </w:tcBorders>
            <w:shd w:val="clear" w:color="000000" w:fill="FFFEFA"/>
            <w:noWrap/>
            <w:vAlign w:val="center"/>
            <w:hideMark/>
          </w:tcPr>
          <w:p w14:paraId="551A2CBD"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112</w:t>
            </w:r>
          </w:p>
        </w:tc>
        <w:tc>
          <w:tcPr>
            <w:tcW w:w="379" w:type="pct"/>
            <w:tcBorders>
              <w:top w:val="nil"/>
              <w:left w:val="nil"/>
              <w:bottom w:val="nil"/>
              <w:right w:val="nil"/>
            </w:tcBorders>
            <w:shd w:val="clear" w:color="000000" w:fill="FFFEF7"/>
            <w:noWrap/>
            <w:vAlign w:val="center"/>
            <w:hideMark/>
          </w:tcPr>
          <w:p w14:paraId="68332AD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164</w:t>
            </w:r>
          </w:p>
        </w:tc>
        <w:tc>
          <w:tcPr>
            <w:tcW w:w="559" w:type="pct"/>
            <w:tcBorders>
              <w:top w:val="nil"/>
              <w:left w:val="nil"/>
              <w:bottom w:val="nil"/>
              <w:right w:val="nil"/>
            </w:tcBorders>
            <w:shd w:val="clear" w:color="000000" w:fill="FFFDF3"/>
            <w:noWrap/>
            <w:vAlign w:val="center"/>
            <w:hideMark/>
          </w:tcPr>
          <w:p w14:paraId="0DFEA42B" w14:textId="007C46A3"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228 </w:t>
            </w:r>
          </w:p>
        </w:tc>
      </w:tr>
      <w:tr w:rsidR="000C139E" w:rsidRPr="00627DA0" w14:paraId="5F88FED0" w14:textId="77777777" w:rsidTr="000C139E">
        <w:trPr>
          <w:trHeight w:val="300"/>
        </w:trPr>
        <w:tc>
          <w:tcPr>
            <w:tcW w:w="857" w:type="pct"/>
            <w:tcBorders>
              <w:top w:val="nil"/>
              <w:left w:val="nil"/>
              <w:bottom w:val="nil"/>
              <w:right w:val="nil"/>
            </w:tcBorders>
            <w:noWrap/>
            <w:vAlign w:val="bottom"/>
            <w:hideMark/>
          </w:tcPr>
          <w:p w14:paraId="1E8EBC63"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64DDF3B6"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CAC</w:t>
            </w:r>
          </w:p>
        </w:tc>
        <w:tc>
          <w:tcPr>
            <w:tcW w:w="468" w:type="pct"/>
            <w:tcBorders>
              <w:top w:val="nil"/>
              <w:left w:val="nil"/>
              <w:bottom w:val="nil"/>
              <w:right w:val="nil"/>
            </w:tcBorders>
            <w:shd w:val="clear" w:color="000000" w:fill="FFFFFF"/>
            <w:noWrap/>
            <w:vAlign w:val="center"/>
            <w:hideMark/>
          </w:tcPr>
          <w:p w14:paraId="31DB6D7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4A03AB6D"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09D440B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2EC3E80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2CA920D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w:t>
            </w:r>
          </w:p>
        </w:tc>
        <w:tc>
          <w:tcPr>
            <w:tcW w:w="379" w:type="pct"/>
            <w:tcBorders>
              <w:top w:val="nil"/>
              <w:left w:val="nil"/>
              <w:bottom w:val="nil"/>
              <w:right w:val="nil"/>
            </w:tcBorders>
            <w:shd w:val="clear" w:color="000000" w:fill="FFFFFF"/>
            <w:noWrap/>
            <w:vAlign w:val="center"/>
            <w:hideMark/>
          </w:tcPr>
          <w:p w14:paraId="6F5CEEA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4</w:t>
            </w:r>
          </w:p>
        </w:tc>
        <w:tc>
          <w:tcPr>
            <w:tcW w:w="559" w:type="pct"/>
            <w:tcBorders>
              <w:top w:val="nil"/>
              <w:left w:val="nil"/>
              <w:bottom w:val="nil"/>
              <w:right w:val="nil"/>
            </w:tcBorders>
            <w:shd w:val="clear" w:color="000000" w:fill="FFFFFF"/>
            <w:noWrap/>
            <w:vAlign w:val="center"/>
            <w:hideMark/>
          </w:tcPr>
          <w:p w14:paraId="5B3D739C" w14:textId="55E14B42"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6 </w:t>
            </w:r>
          </w:p>
        </w:tc>
      </w:tr>
      <w:tr w:rsidR="000C139E" w:rsidRPr="00627DA0" w14:paraId="1FD3BE59" w14:textId="77777777" w:rsidTr="000C139E">
        <w:trPr>
          <w:trHeight w:val="300"/>
        </w:trPr>
        <w:tc>
          <w:tcPr>
            <w:tcW w:w="857" w:type="pct"/>
            <w:tcBorders>
              <w:top w:val="nil"/>
              <w:left w:val="nil"/>
              <w:bottom w:val="nil"/>
              <w:right w:val="nil"/>
            </w:tcBorders>
            <w:noWrap/>
            <w:vAlign w:val="bottom"/>
            <w:hideMark/>
          </w:tcPr>
          <w:p w14:paraId="25A454EB"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2C5A8FAB"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Circulator</w:t>
            </w:r>
          </w:p>
        </w:tc>
        <w:tc>
          <w:tcPr>
            <w:tcW w:w="468" w:type="pct"/>
            <w:tcBorders>
              <w:top w:val="nil"/>
              <w:left w:val="nil"/>
              <w:bottom w:val="nil"/>
              <w:right w:val="nil"/>
            </w:tcBorders>
            <w:shd w:val="clear" w:color="000000" w:fill="FFFFFF"/>
            <w:noWrap/>
            <w:vAlign w:val="center"/>
            <w:hideMark/>
          </w:tcPr>
          <w:p w14:paraId="294653D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0A0BF65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07F726A7"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2F92987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25F068E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12F5EF1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559" w:type="pct"/>
            <w:tcBorders>
              <w:top w:val="nil"/>
              <w:left w:val="nil"/>
              <w:bottom w:val="nil"/>
              <w:right w:val="nil"/>
            </w:tcBorders>
            <w:shd w:val="clear" w:color="000000" w:fill="FFFFFF"/>
            <w:noWrap/>
            <w:vAlign w:val="center"/>
            <w:hideMark/>
          </w:tcPr>
          <w:p w14:paraId="7FE21886" w14:textId="09EDAD88"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2 </w:t>
            </w:r>
          </w:p>
        </w:tc>
      </w:tr>
      <w:tr w:rsidR="000C139E" w:rsidRPr="00627DA0" w14:paraId="191F32D2" w14:textId="77777777" w:rsidTr="000C139E">
        <w:trPr>
          <w:trHeight w:val="300"/>
        </w:trPr>
        <w:tc>
          <w:tcPr>
            <w:tcW w:w="857" w:type="pct"/>
            <w:tcBorders>
              <w:top w:val="nil"/>
              <w:left w:val="nil"/>
              <w:bottom w:val="nil"/>
              <w:right w:val="nil"/>
            </w:tcBorders>
            <w:noWrap/>
            <w:vAlign w:val="bottom"/>
            <w:hideMark/>
          </w:tcPr>
          <w:p w14:paraId="193A24F1"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66A7E566"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Circulator Controls</w:t>
            </w:r>
          </w:p>
        </w:tc>
        <w:tc>
          <w:tcPr>
            <w:tcW w:w="468" w:type="pct"/>
            <w:tcBorders>
              <w:top w:val="nil"/>
              <w:left w:val="nil"/>
              <w:bottom w:val="nil"/>
              <w:right w:val="nil"/>
            </w:tcBorders>
            <w:shd w:val="clear" w:color="000000" w:fill="FFFFFF"/>
            <w:noWrap/>
            <w:vAlign w:val="center"/>
            <w:hideMark/>
          </w:tcPr>
          <w:p w14:paraId="52186E9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0E569BD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2BA4BDC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6A104F4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0EBD6F0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1458D6B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559" w:type="pct"/>
            <w:tcBorders>
              <w:top w:val="nil"/>
              <w:left w:val="nil"/>
              <w:bottom w:val="nil"/>
              <w:right w:val="nil"/>
            </w:tcBorders>
            <w:shd w:val="clear" w:color="000000" w:fill="FFFFFF"/>
            <w:noWrap/>
            <w:vAlign w:val="center"/>
            <w:hideMark/>
          </w:tcPr>
          <w:p w14:paraId="2F318099" w14:textId="380D76ED"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0 </w:t>
            </w:r>
          </w:p>
        </w:tc>
      </w:tr>
      <w:tr w:rsidR="000C139E" w:rsidRPr="00627DA0" w14:paraId="4983C735" w14:textId="77777777" w:rsidTr="000C139E">
        <w:trPr>
          <w:trHeight w:val="300"/>
        </w:trPr>
        <w:tc>
          <w:tcPr>
            <w:tcW w:w="857" w:type="pct"/>
            <w:tcBorders>
              <w:top w:val="nil"/>
              <w:left w:val="nil"/>
              <w:bottom w:val="nil"/>
              <w:right w:val="nil"/>
            </w:tcBorders>
            <w:noWrap/>
            <w:vAlign w:val="bottom"/>
            <w:hideMark/>
          </w:tcPr>
          <w:p w14:paraId="5CED4F7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170E9CBE"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DHP</w:t>
            </w:r>
          </w:p>
        </w:tc>
        <w:tc>
          <w:tcPr>
            <w:tcW w:w="468" w:type="pct"/>
            <w:tcBorders>
              <w:top w:val="nil"/>
              <w:left w:val="nil"/>
              <w:bottom w:val="nil"/>
              <w:right w:val="nil"/>
            </w:tcBorders>
            <w:shd w:val="clear" w:color="000000" w:fill="FFFEF6"/>
            <w:noWrap/>
            <w:vAlign w:val="center"/>
            <w:hideMark/>
          </w:tcPr>
          <w:p w14:paraId="269FD8F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187</w:t>
            </w:r>
          </w:p>
        </w:tc>
        <w:tc>
          <w:tcPr>
            <w:tcW w:w="459" w:type="pct"/>
            <w:tcBorders>
              <w:top w:val="nil"/>
              <w:left w:val="nil"/>
              <w:bottom w:val="nil"/>
              <w:right w:val="nil"/>
            </w:tcBorders>
            <w:shd w:val="clear" w:color="000000" w:fill="FFFEF7"/>
            <w:noWrap/>
            <w:vAlign w:val="center"/>
            <w:hideMark/>
          </w:tcPr>
          <w:p w14:paraId="5D52B76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165</w:t>
            </w:r>
          </w:p>
        </w:tc>
        <w:tc>
          <w:tcPr>
            <w:tcW w:w="463" w:type="pct"/>
            <w:tcBorders>
              <w:top w:val="nil"/>
              <w:left w:val="nil"/>
              <w:bottom w:val="nil"/>
              <w:right w:val="nil"/>
            </w:tcBorders>
            <w:shd w:val="clear" w:color="000000" w:fill="FFFEF8"/>
            <w:noWrap/>
            <w:vAlign w:val="center"/>
            <w:hideMark/>
          </w:tcPr>
          <w:p w14:paraId="495284B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151</w:t>
            </w:r>
          </w:p>
        </w:tc>
        <w:tc>
          <w:tcPr>
            <w:tcW w:w="357" w:type="pct"/>
            <w:tcBorders>
              <w:top w:val="nil"/>
              <w:left w:val="single" w:sz="4" w:space="0" w:color="auto"/>
              <w:bottom w:val="nil"/>
              <w:right w:val="nil"/>
            </w:tcBorders>
            <w:shd w:val="clear" w:color="000000" w:fill="FFFFFF"/>
            <w:noWrap/>
            <w:vAlign w:val="center"/>
            <w:hideMark/>
          </w:tcPr>
          <w:p w14:paraId="7DBA575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70B49B6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5BBAF50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559" w:type="pct"/>
            <w:tcBorders>
              <w:top w:val="nil"/>
              <w:left w:val="nil"/>
              <w:bottom w:val="nil"/>
              <w:right w:val="nil"/>
            </w:tcBorders>
            <w:shd w:val="clear" w:color="000000" w:fill="FFFFFF"/>
            <w:noWrap/>
            <w:vAlign w:val="center"/>
            <w:hideMark/>
          </w:tcPr>
          <w:p w14:paraId="2E568D9F" w14:textId="2731ACFF"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   </w:t>
            </w:r>
          </w:p>
        </w:tc>
      </w:tr>
      <w:tr w:rsidR="000C139E" w:rsidRPr="00627DA0" w14:paraId="0348C1A0" w14:textId="77777777" w:rsidTr="000C139E">
        <w:trPr>
          <w:trHeight w:val="300"/>
        </w:trPr>
        <w:tc>
          <w:tcPr>
            <w:tcW w:w="857" w:type="pct"/>
            <w:tcBorders>
              <w:top w:val="nil"/>
              <w:left w:val="nil"/>
              <w:bottom w:val="nil"/>
              <w:right w:val="nil"/>
            </w:tcBorders>
            <w:noWrap/>
            <w:vAlign w:val="bottom"/>
            <w:hideMark/>
          </w:tcPr>
          <w:p w14:paraId="5F7E09CE"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014AFD9B"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Duct Sealing</w:t>
            </w:r>
          </w:p>
        </w:tc>
        <w:tc>
          <w:tcPr>
            <w:tcW w:w="468" w:type="pct"/>
            <w:tcBorders>
              <w:top w:val="nil"/>
              <w:left w:val="nil"/>
              <w:bottom w:val="nil"/>
              <w:right w:val="nil"/>
            </w:tcBorders>
            <w:shd w:val="clear" w:color="000000" w:fill="FFFFFF"/>
            <w:noWrap/>
            <w:vAlign w:val="center"/>
            <w:hideMark/>
          </w:tcPr>
          <w:p w14:paraId="34EFC7A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6DCB08D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E"/>
            <w:noWrap/>
            <w:vAlign w:val="center"/>
            <w:hideMark/>
          </w:tcPr>
          <w:p w14:paraId="211E134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29</w:t>
            </w:r>
          </w:p>
        </w:tc>
        <w:tc>
          <w:tcPr>
            <w:tcW w:w="357" w:type="pct"/>
            <w:tcBorders>
              <w:top w:val="nil"/>
              <w:left w:val="single" w:sz="4" w:space="0" w:color="auto"/>
              <w:bottom w:val="nil"/>
              <w:right w:val="nil"/>
            </w:tcBorders>
            <w:shd w:val="clear" w:color="000000" w:fill="FFFFFE"/>
            <w:noWrap/>
            <w:vAlign w:val="center"/>
            <w:hideMark/>
          </w:tcPr>
          <w:p w14:paraId="19D668D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30</w:t>
            </w:r>
          </w:p>
        </w:tc>
        <w:tc>
          <w:tcPr>
            <w:tcW w:w="379" w:type="pct"/>
            <w:tcBorders>
              <w:top w:val="nil"/>
              <w:left w:val="nil"/>
              <w:bottom w:val="nil"/>
              <w:right w:val="nil"/>
            </w:tcBorders>
            <w:shd w:val="clear" w:color="000000" w:fill="FFFFFD"/>
            <w:noWrap/>
            <w:vAlign w:val="center"/>
            <w:hideMark/>
          </w:tcPr>
          <w:p w14:paraId="5180654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49</w:t>
            </w:r>
          </w:p>
        </w:tc>
        <w:tc>
          <w:tcPr>
            <w:tcW w:w="379" w:type="pct"/>
            <w:tcBorders>
              <w:top w:val="nil"/>
              <w:left w:val="nil"/>
              <w:bottom w:val="nil"/>
              <w:right w:val="nil"/>
            </w:tcBorders>
            <w:shd w:val="clear" w:color="000000" w:fill="FFFFFC"/>
            <w:noWrap/>
            <w:vAlign w:val="center"/>
            <w:hideMark/>
          </w:tcPr>
          <w:p w14:paraId="45BA53F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75</w:t>
            </w:r>
          </w:p>
        </w:tc>
        <w:tc>
          <w:tcPr>
            <w:tcW w:w="559" w:type="pct"/>
            <w:tcBorders>
              <w:top w:val="nil"/>
              <w:left w:val="nil"/>
              <w:bottom w:val="nil"/>
              <w:right w:val="nil"/>
            </w:tcBorders>
            <w:shd w:val="clear" w:color="000000" w:fill="FFFEFA"/>
            <w:noWrap/>
            <w:vAlign w:val="center"/>
            <w:hideMark/>
          </w:tcPr>
          <w:p w14:paraId="18334E1F" w14:textId="56D9F80F"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108 </w:t>
            </w:r>
          </w:p>
        </w:tc>
      </w:tr>
      <w:tr w:rsidR="000C139E" w:rsidRPr="00627DA0" w14:paraId="28E05A4C" w14:textId="77777777" w:rsidTr="000C139E">
        <w:trPr>
          <w:trHeight w:val="300"/>
        </w:trPr>
        <w:tc>
          <w:tcPr>
            <w:tcW w:w="857" w:type="pct"/>
            <w:tcBorders>
              <w:top w:val="nil"/>
              <w:left w:val="nil"/>
              <w:bottom w:val="nil"/>
              <w:right w:val="nil"/>
            </w:tcBorders>
            <w:noWrap/>
            <w:vAlign w:val="bottom"/>
            <w:hideMark/>
          </w:tcPr>
          <w:p w14:paraId="1938B9BF"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303A84B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GSHP</w:t>
            </w:r>
          </w:p>
        </w:tc>
        <w:tc>
          <w:tcPr>
            <w:tcW w:w="468" w:type="pct"/>
            <w:tcBorders>
              <w:top w:val="nil"/>
              <w:left w:val="nil"/>
              <w:bottom w:val="nil"/>
              <w:right w:val="nil"/>
            </w:tcBorders>
            <w:shd w:val="clear" w:color="000000" w:fill="FFFFFF"/>
            <w:noWrap/>
            <w:vAlign w:val="center"/>
            <w:hideMark/>
          </w:tcPr>
          <w:p w14:paraId="5002576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w:t>
            </w:r>
          </w:p>
        </w:tc>
        <w:tc>
          <w:tcPr>
            <w:tcW w:w="459" w:type="pct"/>
            <w:tcBorders>
              <w:top w:val="nil"/>
              <w:left w:val="nil"/>
              <w:bottom w:val="nil"/>
              <w:right w:val="nil"/>
            </w:tcBorders>
            <w:shd w:val="clear" w:color="000000" w:fill="FFFFFE"/>
            <w:noWrap/>
            <w:vAlign w:val="center"/>
            <w:hideMark/>
          </w:tcPr>
          <w:p w14:paraId="04DF7B4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34</w:t>
            </w:r>
          </w:p>
        </w:tc>
        <w:tc>
          <w:tcPr>
            <w:tcW w:w="463" w:type="pct"/>
            <w:tcBorders>
              <w:top w:val="nil"/>
              <w:left w:val="nil"/>
              <w:bottom w:val="nil"/>
              <w:right w:val="nil"/>
            </w:tcBorders>
            <w:shd w:val="clear" w:color="000000" w:fill="FFFFFF"/>
            <w:noWrap/>
            <w:vAlign w:val="center"/>
            <w:hideMark/>
          </w:tcPr>
          <w:p w14:paraId="0C895ED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0D07FDE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06A354D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42F9929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559" w:type="pct"/>
            <w:tcBorders>
              <w:top w:val="nil"/>
              <w:left w:val="nil"/>
              <w:bottom w:val="nil"/>
              <w:right w:val="nil"/>
            </w:tcBorders>
            <w:shd w:val="clear" w:color="000000" w:fill="FFFFFF"/>
            <w:noWrap/>
            <w:vAlign w:val="center"/>
            <w:hideMark/>
          </w:tcPr>
          <w:p w14:paraId="7B7A962E" w14:textId="569646BD"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   </w:t>
            </w:r>
          </w:p>
        </w:tc>
      </w:tr>
      <w:tr w:rsidR="000C139E" w:rsidRPr="00627DA0" w14:paraId="35306C0F" w14:textId="77777777" w:rsidTr="000C139E">
        <w:trPr>
          <w:trHeight w:val="300"/>
        </w:trPr>
        <w:tc>
          <w:tcPr>
            <w:tcW w:w="857" w:type="pct"/>
            <w:tcBorders>
              <w:top w:val="nil"/>
              <w:left w:val="nil"/>
              <w:bottom w:val="nil"/>
              <w:right w:val="nil"/>
            </w:tcBorders>
            <w:noWrap/>
            <w:vAlign w:val="bottom"/>
            <w:hideMark/>
          </w:tcPr>
          <w:p w14:paraId="41F4EB8D"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6BFD672C"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Room AC</w:t>
            </w:r>
          </w:p>
        </w:tc>
        <w:tc>
          <w:tcPr>
            <w:tcW w:w="468" w:type="pct"/>
            <w:tcBorders>
              <w:top w:val="nil"/>
              <w:left w:val="nil"/>
              <w:bottom w:val="nil"/>
              <w:right w:val="nil"/>
            </w:tcBorders>
            <w:shd w:val="clear" w:color="000000" w:fill="FFFFFF"/>
            <w:noWrap/>
            <w:vAlign w:val="center"/>
            <w:hideMark/>
          </w:tcPr>
          <w:p w14:paraId="736BF2D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459" w:type="pct"/>
            <w:tcBorders>
              <w:top w:val="nil"/>
              <w:left w:val="nil"/>
              <w:bottom w:val="nil"/>
              <w:right w:val="nil"/>
            </w:tcBorders>
            <w:shd w:val="clear" w:color="000000" w:fill="FFFFFF"/>
            <w:noWrap/>
            <w:vAlign w:val="center"/>
            <w:hideMark/>
          </w:tcPr>
          <w:p w14:paraId="0F50766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463" w:type="pct"/>
            <w:tcBorders>
              <w:top w:val="nil"/>
              <w:left w:val="nil"/>
              <w:bottom w:val="nil"/>
              <w:right w:val="nil"/>
            </w:tcBorders>
            <w:shd w:val="clear" w:color="000000" w:fill="FFFFFF"/>
            <w:noWrap/>
            <w:vAlign w:val="center"/>
            <w:hideMark/>
          </w:tcPr>
          <w:p w14:paraId="1CDA315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57" w:type="pct"/>
            <w:tcBorders>
              <w:top w:val="nil"/>
              <w:left w:val="single" w:sz="4" w:space="0" w:color="auto"/>
              <w:bottom w:val="nil"/>
              <w:right w:val="nil"/>
            </w:tcBorders>
            <w:shd w:val="clear" w:color="000000" w:fill="FFFFFF"/>
            <w:noWrap/>
            <w:vAlign w:val="center"/>
            <w:hideMark/>
          </w:tcPr>
          <w:p w14:paraId="79A3C91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1B668C8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79" w:type="pct"/>
            <w:tcBorders>
              <w:top w:val="nil"/>
              <w:left w:val="nil"/>
              <w:bottom w:val="nil"/>
              <w:right w:val="nil"/>
            </w:tcBorders>
            <w:shd w:val="clear" w:color="000000" w:fill="FFFFFF"/>
            <w:noWrap/>
            <w:vAlign w:val="center"/>
            <w:hideMark/>
          </w:tcPr>
          <w:p w14:paraId="482A567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559" w:type="pct"/>
            <w:tcBorders>
              <w:top w:val="nil"/>
              <w:left w:val="nil"/>
              <w:bottom w:val="nil"/>
              <w:right w:val="nil"/>
            </w:tcBorders>
            <w:shd w:val="clear" w:color="000000" w:fill="FFFFFF"/>
            <w:noWrap/>
            <w:vAlign w:val="center"/>
            <w:hideMark/>
          </w:tcPr>
          <w:p w14:paraId="1B44B069" w14:textId="3DDD8273"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   </w:t>
            </w:r>
          </w:p>
        </w:tc>
      </w:tr>
      <w:tr w:rsidR="000C139E" w:rsidRPr="00627DA0" w14:paraId="763E7758" w14:textId="77777777" w:rsidTr="000C139E">
        <w:trPr>
          <w:trHeight w:val="300"/>
        </w:trPr>
        <w:tc>
          <w:tcPr>
            <w:tcW w:w="857" w:type="pct"/>
            <w:tcBorders>
              <w:top w:val="nil"/>
              <w:left w:val="nil"/>
              <w:bottom w:val="nil"/>
              <w:right w:val="nil"/>
            </w:tcBorders>
            <w:noWrap/>
            <w:vAlign w:val="bottom"/>
            <w:hideMark/>
          </w:tcPr>
          <w:p w14:paraId="1DAE52F8"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43B1AD90"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Thermostat</w:t>
            </w:r>
          </w:p>
        </w:tc>
        <w:tc>
          <w:tcPr>
            <w:tcW w:w="468" w:type="pct"/>
            <w:tcBorders>
              <w:top w:val="nil"/>
              <w:left w:val="nil"/>
              <w:bottom w:val="nil"/>
              <w:right w:val="nil"/>
            </w:tcBorders>
            <w:shd w:val="clear" w:color="000000" w:fill="F4E477"/>
            <w:noWrap/>
            <w:vAlign w:val="center"/>
            <w:hideMark/>
          </w:tcPr>
          <w:p w14:paraId="125C535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2,575</w:t>
            </w:r>
          </w:p>
        </w:tc>
        <w:tc>
          <w:tcPr>
            <w:tcW w:w="459" w:type="pct"/>
            <w:tcBorders>
              <w:top w:val="nil"/>
              <w:left w:val="nil"/>
              <w:bottom w:val="nil"/>
              <w:right w:val="nil"/>
            </w:tcBorders>
            <w:shd w:val="clear" w:color="000000" w:fill="FFFEF9"/>
            <w:noWrap/>
            <w:vAlign w:val="center"/>
            <w:hideMark/>
          </w:tcPr>
          <w:p w14:paraId="7AF6FFC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129</w:t>
            </w:r>
          </w:p>
        </w:tc>
        <w:tc>
          <w:tcPr>
            <w:tcW w:w="463" w:type="pct"/>
            <w:tcBorders>
              <w:top w:val="nil"/>
              <w:left w:val="nil"/>
              <w:bottom w:val="nil"/>
              <w:right w:val="nil"/>
            </w:tcBorders>
            <w:shd w:val="clear" w:color="000000" w:fill="FFFFFB"/>
            <w:noWrap/>
            <w:vAlign w:val="center"/>
            <w:hideMark/>
          </w:tcPr>
          <w:p w14:paraId="70BEA1A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88</w:t>
            </w:r>
          </w:p>
        </w:tc>
        <w:tc>
          <w:tcPr>
            <w:tcW w:w="357" w:type="pct"/>
            <w:tcBorders>
              <w:top w:val="nil"/>
              <w:left w:val="single" w:sz="4" w:space="0" w:color="auto"/>
              <w:bottom w:val="nil"/>
              <w:right w:val="nil"/>
            </w:tcBorders>
            <w:shd w:val="clear" w:color="000000" w:fill="FFFFFB"/>
            <w:noWrap/>
            <w:vAlign w:val="center"/>
            <w:hideMark/>
          </w:tcPr>
          <w:p w14:paraId="5C4D286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78</w:t>
            </w:r>
          </w:p>
        </w:tc>
        <w:tc>
          <w:tcPr>
            <w:tcW w:w="379" w:type="pct"/>
            <w:tcBorders>
              <w:top w:val="nil"/>
              <w:left w:val="nil"/>
              <w:bottom w:val="nil"/>
              <w:right w:val="nil"/>
            </w:tcBorders>
            <w:shd w:val="clear" w:color="000000" w:fill="FFFEF8"/>
            <w:noWrap/>
            <w:vAlign w:val="center"/>
            <w:hideMark/>
          </w:tcPr>
          <w:p w14:paraId="171437C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144</w:t>
            </w:r>
          </w:p>
        </w:tc>
        <w:tc>
          <w:tcPr>
            <w:tcW w:w="379" w:type="pct"/>
            <w:tcBorders>
              <w:top w:val="nil"/>
              <w:left w:val="nil"/>
              <w:bottom w:val="nil"/>
              <w:right w:val="nil"/>
            </w:tcBorders>
            <w:shd w:val="clear" w:color="000000" w:fill="FEFDF3"/>
            <w:noWrap/>
            <w:vAlign w:val="center"/>
            <w:hideMark/>
          </w:tcPr>
          <w:p w14:paraId="7DABF1B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236</w:t>
            </w:r>
          </w:p>
        </w:tc>
        <w:tc>
          <w:tcPr>
            <w:tcW w:w="559" w:type="pct"/>
            <w:tcBorders>
              <w:top w:val="nil"/>
              <w:left w:val="nil"/>
              <w:bottom w:val="nil"/>
              <w:right w:val="nil"/>
            </w:tcBorders>
            <w:shd w:val="clear" w:color="000000" w:fill="FEFCED"/>
            <w:noWrap/>
            <w:vAlign w:val="center"/>
            <w:hideMark/>
          </w:tcPr>
          <w:p w14:paraId="48656E1F" w14:textId="07098715"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354 </w:t>
            </w:r>
          </w:p>
        </w:tc>
      </w:tr>
      <w:tr w:rsidR="000C139E" w:rsidRPr="00627DA0" w14:paraId="376A4278" w14:textId="77777777" w:rsidTr="000C139E">
        <w:trPr>
          <w:trHeight w:val="300"/>
        </w:trPr>
        <w:tc>
          <w:tcPr>
            <w:tcW w:w="857" w:type="pct"/>
            <w:tcBorders>
              <w:top w:val="nil"/>
              <w:left w:val="nil"/>
              <w:bottom w:val="nil"/>
              <w:right w:val="nil"/>
            </w:tcBorders>
            <w:noWrap/>
            <w:vAlign w:val="bottom"/>
            <w:hideMark/>
          </w:tcPr>
          <w:p w14:paraId="5575743D"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HVAC</w:t>
            </w:r>
          </w:p>
        </w:tc>
        <w:tc>
          <w:tcPr>
            <w:tcW w:w="1080" w:type="pct"/>
            <w:tcBorders>
              <w:top w:val="nil"/>
              <w:left w:val="nil"/>
              <w:bottom w:val="nil"/>
              <w:right w:val="nil"/>
            </w:tcBorders>
            <w:noWrap/>
            <w:vAlign w:val="bottom"/>
            <w:hideMark/>
          </w:tcPr>
          <w:p w14:paraId="15F91903"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Weatherization</w:t>
            </w:r>
          </w:p>
        </w:tc>
        <w:tc>
          <w:tcPr>
            <w:tcW w:w="468" w:type="pct"/>
            <w:tcBorders>
              <w:top w:val="nil"/>
              <w:left w:val="nil"/>
              <w:bottom w:val="nil"/>
              <w:right w:val="nil"/>
            </w:tcBorders>
            <w:shd w:val="clear" w:color="000000" w:fill="FFFDF5"/>
            <w:noWrap/>
            <w:vAlign w:val="center"/>
            <w:hideMark/>
          </w:tcPr>
          <w:p w14:paraId="10413B3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205</w:t>
            </w:r>
          </w:p>
        </w:tc>
        <w:tc>
          <w:tcPr>
            <w:tcW w:w="459" w:type="pct"/>
            <w:tcBorders>
              <w:top w:val="nil"/>
              <w:left w:val="nil"/>
              <w:bottom w:val="nil"/>
              <w:right w:val="nil"/>
            </w:tcBorders>
            <w:shd w:val="clear" w:color="000000" w:fill="FFFDF5"/>
            <w:noWrap/>
            <w:vAlign w:val="center"/>
            <w:hideMark/>
          </w:tcPr>
          <w:p w14:paraId="31889BF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205</w:t>
            </w:r>
          </w:p>
        </w:tc>
        <w:tc>
          <w:tcPr>
            <w:tcW w:w="463" w:type="pct"/>
            <w:tcBorders>
              <w:top w:val="nil"/>
              <w:left w:val="nil"/>
              <w:bottom w:val="nil"/>
              <w:right w:val="nil"/>
            </w:tcBorders>
            <w:shd w:val="clear" w:color="000000" w:fill="FFFEF6"/>
            <w:noWrap/>
            <w:vAlign w:val="center"/>
            <w:hideMark/>
          </w:tcPr>
          <w:p w14:paraId="60D54D4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186</w:t>
            </w:r>
          </w:p>
        </w:tc>
        <w:tc>
          <w:tcPr>
            <w:tcW w:w="357" w:type="pct"/>
            <w:tcBorders>
              <w:top w:val="nil"/>
              <w:left w:val="single" w:sz="4" w:space="0" w:color="auto"/>
              <w:bottom w:val="nil"/>
              <w:right w:val="nil"/>
            </w:tcBorders>
            <w:shd w:val="clear" w:color="000000" w:fill="FFFEF8"/>
            <w:noWrap/>
            <w:vAlign w:val="center"/>
            <w:hideMark/>
          </w:tcPr>
          <w:p w14:paraId="72021C6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135</w:t>
            </w:r>
          </w:p>
        </w:tc>
        <w:tc>
          <w:tcPr>
            <w:tcW w:w="379" w:type="pct"/>
            <w:tcBorders>
              <w:top w:val="nil"/>
              <w:left w:val="nil"/>
              <w:bottom w:val="nil"/>
              <w:right w:val="nil"/>
            </w:tcBorders>
            <w:shd w:val="clear" w:color="000000" w:fill="FFFDF5"/>
            <w:noWrap/>
            <w:vAlign w:val="center"/>
            <w:hideMark/>
          </w:tcPr>
          <w:p w14:paraId="5609123B"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195</w:t>
            </w:r>
          </w:p>
        </w:tc>
        <w:tc>
          <w:tcPr>
            <w:tcW w:w="379" w:type="pct"/>
            <w:tcBorders>
              <w:top w:val="nil"/>
              <w:left w:val="nil"/>
              <w:bottom w:val="nil"/>
              <w:right w:val="nil"/>
            </w:tcBorders>
            <w:shd w:val="clear" w:color="000000" w:fill="FEFDF1"/>
            <w:noWrap/>
            <w:vAlign w:val="center"/>
            <w:hideMark/>
          </w:tcPr>
          <w:p w14:paraId="350D47DD"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270</w:t>
            </w:r>
          </w:p>
        </w:tc>
        <w:tc>
          <w:tcPr>
            <w:tcW w:w="559" w:type="pct"/>
            <w:tcBorders>
              <w:top w:val="nil"/>
              <w:left w:val="nil"/>
              <w:bottom w:val="nil"/>
              <w:right w:val="nil"/>
            </w:tcBorders>
            <w:shd w:val="clear" w:color="000000" w:fill="FEFCED"/>
            <w:noWrap/>
            <w:vAlign w:val="center"/>
            <w:hideMark/>
          </w:tcPr>
          <w:p w14:paraId="598AA860" w14:textId="115FBACC"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355 </w:t>
            </w:r>
          </w:p>
        </w:tc>
      </w:tr>
      <w:tr w:rsidR="000C139E" w:rsidRPr="00627DA0" w14:paraId="1C9A0780" w14:textId="77777777" w:rsidTr="000C139E">
        <w:trPr>
          <w:trHeight w:val="300"/>
        </w:trPr>
        <w:tc>
          <w:tcPr>
            <w:tcW w:w="857" w:type="pct"/>
            <w:tcBorders>
              <w:top w:val="nil"/>
              <w:left w:val="nil"/>
              <w:bottom w:val="nil"/>
              <w:right w:val="nil"/>
            </w:tcBorders>
            <w:noWrap/>
            <w:vAlign w:val="bottom"/>
            <w:hideMark/>
          </w:tcPr>
          <w:p w14:paraId="0284B609"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Lighting</w:t>
            </w:r>
          </w:p>
        </w:tc>
        <w:tc>
          <w:tcPr>
            <w:tcW w:w="1080" w:type="pct"/>
            <w:tcBorders>
              <w:top w:val="nil"/>
              <w:left w:val="nil"/>
              <w:bottom w:val="nil"/>
              <w:right w:val="nil"/>
            </w:tcBorders>
            <w:noWrap/>
            <w:vAlign w:val="bottom"/>
            <w:hideMark/>
          </w:tcPr>
          <w:p w14:paraId="384832D7"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Fixtures</w:t>
            </w:r>
          </w:p>
        </w:tc>
        <w:tc>
          <w:tcPr>
            <w:tcW w:w="468" w:type="pct"/>
            <w:tcBorders>
              <w:top w:val="nil"/>
              <w:left w:val="nil"/>
              <w:bottom w:val="nil"/>
              <w:right w:val="nil"/>
            </w:tcBorders>
            <w:shd w:val="clear" w:color="000000" w:fill="FFFFFF"/>
            <w:noWrap/>
            <w:vAlign w:val="center"/>
            <w:hideMark/>
          </w:tcPr>
          <w:p w14:paraId="44D3251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7342E30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680C978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D"/>
            <w:noWrap/>
            <w:vAlign w:val="center"/>
            <w:hideMark/>
          </w:tcPr>
          <w:p w14:paraId="461DE5F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40</w:t>
            </w:r>
          </w:p>
        </w:tc>
        <w:tc>
          <w:tcPr>
            <w:tcW w:w="379" w:type="pct"/>
            <w:tcBorders>
              <w:top w:val="nil"/>
              <w:left w:val="nil"/>
              <w:bottom w:val="nil"/>
              <w:right w:val="nil"/>
            </w:tcBorders>
            <w:shd w:val="clear" w:color="000000" w:fill="FFFFFD"/>
            <w:noWrap/>
            <w:vAlign w:val="center"/>
            <w:hideMark/>
          </w:tcPr>
          <w:p w14:paraId="040D13D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54</w:t>
            </w:r>
          </w:p>
        </w:tc>
        <w:tc>
          <w:tcPr>
            <w:tcW w:w="379" w:type="pct"/>
            <w:tcBorders>
              <w:top w:val="nil"/>
              <w:left w:val="nil"/>
              <w:bottom w:val="nil"/>
              <w:right w:val="nil"/>
            </w:tcBorders>
            <w:shd w:val="clear" w:color="000000" w:fill="FFFFFC"/>
            <w:noWrap/>
            <w:vAlign w:val="center"/>
            <w:hideMark/>
          </w:tcPr>
          <w:p w14:paraId="04BF25C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70</w:t>
            </w:r>
          </w:p>
        </w:tc>
        <w:tc>
          <w:tcPr>
            <w:tcW w:w="559" w:type="pct"/>
            <w:tcBorders>
              <w:top w:val="nil"/>
              <w:left w:val="nil"/>
              <w:bottom w:val="nil"/>
              <w:right w:val="nil"/>
            </w:tcBorders>
            <w:shd w:val="clear" w:color="000000" w:fill="FFFFFB"/>
            <w:noWrap/>
            <w:vAlign w:val="center"/>
            <w:hideMark/>
          </w:tcPr>
          <w:p w14:paraId="34182040" w14:textId="7AFC3986"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90 </w:t>
            </w:r>
          </w:p>
        </w:tc>
      </w:tr>
      <w:tr w:rsidR="000C139E" w:rsidRPr="00627DA0" w14:paraId="604D3017" w14:textId="77777777" w:rsidTr="000C139E">
        <w:trPr>
          <w:trHeight w:val="300"/>
        </w:trPr>
        <w:tc>
          <w:tcPr>
            <w:tcW w:w="857" w:type="pct"/>
            <w:tcBorders>
              <w:top w:val="nil"/>
              <w:left w:val="nil"/>
              <w:bottom w:val="nil"/>
              <w:right w:val="nil"/>
            </w:tcBorders>
            <w:noWrap/>
            <w:vAlign w:val="bottom"/>
            <w:hideMark/>
          </w:tcPr>
          <w:p w14:paraId="5C1E8194"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Water Heat</w:t>
            </w:r>
          </w:p>
        </w:tc>
        <w:tc>
          <w:tcPr>
            <w:tcW w:w="1080" w:type="pct"/>
            <w:tcBorders>
              <w:top w:val="nil"/>
              <w:left w:val="nil"/>
              <w:bottom w:val="nil"/>
              <w:right w:val="nil"/>
            </w:tcBorders>
            <w:noWrap/>
            <w:vAlign w:val="bottom"/>
            <w:hideMark/>
          </w:tcPr>
          <w:p w14:paraId="195E00EE"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Circulator</w:t>
            </w:r>
          </w:p>
        </w:tc>
        <w:tc>
          <w:tcPr>
            <w:tcW w:w="468" w:type="pct"/>
            <w:tcBorders>
              <w:top w:val="nil"/>
              <w:left w:val="nil"/>
              <w:bottom w:val="nil"/>
              <w:right w:val="nil"/>
            </w:tcBorders>
            <w:shd w:val="clear" w:color="000000" w:fill="FFFFFF"/>
            <w:noWrap/>
            <w:vAlign w:val="center"/>
            <w:hideMark/>
          </w:tcPr>
          <w:p w14:paraId="46566F1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7CF0D43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3E0B374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4F544FD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7088F6E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5173D98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559" w:type="pct"/>
            <w:tcBorders>
              <w:top w:val="nil"/>
              <w:left w:val="nil"/>
              <w:bottom w:val="nil"/>
              <w:right w:val="nil"/>
            </w:tcBorders>
            <w:shd w:val="clear" w:color="000000" w:fill="FFFFFF"/>
            <w:noWrap/>
            <w:vAlign w:val="center"/>
            <w:hideMark/>
          </w:tcPr>
          <w:p w14:paraId="646DB888" w14:textId="2DAD24D0"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1 </w:t>
            </w:r>
          </w:p>
        </w:tc>
      </w:tr>
      <w:tr w:rsidR="000C139E" w:rsidRPr="00627DA0" w14:paraId="71DF144D" w14:textId="77777777" w:rsidTr="000C139E">
        <w:trPr>
          <w:trHeight w:val="300"/>
        </w:trPr>
        <w:tc>
          <w:tcPr>
            <w:tcW w:w="857" w:type="pct"/>
            <w:tcBorders>
              <w:top w:val="nil"/>
              <w:left w:val="nil"/>
              <w:bottom w:val="nil"/>
              <w:right w:val="nil"/>
            </w:tcBorders>
            <w:noWrap/>
            <w:vAlign w:val="bottom"/>
            <w:hideMark/>
          </w:tcPr>
          <w:p w14:paraId="0C3AD7C6"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Water Heat</w:t>
            </w:r>
          </w:p>
        </w:tc>
        <w:tc>
          <w:tcPr>
            <w:tcW w:w="1080" w:type="pct"/>
            <w:tcBorders>
              <w:top w:val="nil"/>
              <w:left w:val="nil"/>
              <w:bottom w:val="nil"/>
              <w:right w:val="nil"/>
            </w:tcBorders>
            <w:noWrap/>
            <w:vAlign w:val="bottom"/>
            <w:hideMark/>
          </w:tcPr>
          <w:p w14:paraId="48746C3E"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Circulator Controls</w:t>
            </w:r>
          </w:p>
        </w:tc>
        <w:tc>
          <w:tcPr>
            <w:tcW w:w="468" w:type="pct"/>
            <w:tcBorders>
              <w:top w:val="nil"/>
              <w:left w:val="nil"/>
              <w:bottom w:val="nil"/>
              <w:right w:val="nil"/>
            </w:tcBorders>
            <w:shd w:val="clear" w:color="000000" w:fill="FFFFFF"/>
            <w:noWrap/>
            <w:vAlign w:val="center"/>
            <w:hideMark/>
          </w:tcPr>
          <w:p w14:paraId="356971E6"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2943433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1475A95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00ED14D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0</w:t>
            </w:r>
          </w:p>
        </w:tc>
        <w:tc>
          <w:tcPr>
            <w:tcW w:w="379" w:type="pct"/>
            <w:tcBorders>
              <w:top w:val="nil"/>
              <w:left w:val="nil"/>
              <w:bottom w:val="nil"/>
              <w:right w:val="nil"/>
            </w:tcBorders>
            <w:shd w:val="clear" w:color="000000" w:fill="FFFFFF"/>
            <w:noWrap/>
            <w:vAlign w:val="center"/>
            <w:hideMark/>
          </w:tcPr>
          <w:p w14:paraId="224641F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379" w:type="pct"/>
            <w:tcBorders>
              <w:top w:val="nil"/>
              <w:left w:val="nil"/>
              <w:bottom w:val="nil"/>
              <w:right w:val="nil"/>
            </w:tcBorders>
            <w:shd w:val="clear" w:color="000000" w:fill="FFFFFF"/>
            <w:noWrap/>
            <w:vAlign w:val="center"/>
            <w:hideMark/>
          </w:tcPr>
          <w:p w14:paraId="7C5D9F35"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w:t>
            </w:r>
          </w:p>
        </w:tc>
        <w:tc>
          <w:tcPr>
            <w:tcW w:w="559" w:type="pct"/>
            <w:tcBorders>
              <w:top w:val="nil"/>
              <w:left w:val="nil"/>
              <w:bottom w:val="nil"/>
              <w:right w:val="nil"/>
            </w:tcBorders>
            <w:shd w:val="clear" w:color="000000" w:fill="FFFFFF"/>
            <w:noWrap/>
            <w:vAlign w:val="center"/>
            <w:hideMark/>
          </w:tcPr>
          <w:p w14:paraId="2EB1B0F9" w14:textId="0E80000D"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2 </w:t>
            </w:r>
          </w:p>
        </w:tc>
      </w:tr>
      <w:tr w:rsidR="000C139E" w:rsidRPr="00627DA0" w14:paraId="38EC130F" w14:textId="77777777" w:rsidTr="000C139E">
        <w:trPr>
          <w:trHeight w:val="300"/>
        </w:trPr>
        <w:tc>
          <w:tcPr>
            <w:tcW w:w="857" w:type="pct"/>
            <w:tcBorders>
              <w:top w:val="nil"/>
              <w:left w:val="nil"/>
              <w:bottom w:val="nil"/>
              <w:right w:val="nil"/>
            </w:tcBorders>
            <w:noWrap/>
            <w:vAlign w:val="bottom"/>
            <w:hideMark/>
          </w:tcPr>
          <w:p w14:paraId="161AB1A1"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Water Heat</w:t>
            </w:r>
          </w:p>
        </w:tc>
        <w:tc>
          <w:tcPr>
            <w:tcW w:w="1080" w:type="pct"/>
            <w:tcBorders>
              <w:top w:val="nil"/>
              <w:left w:val="nil"/>
              <w:bottom w:val="nil"/>
              <w:right w:val="nil"/>
            </w:tcBorders>
            <w:noWrap/>
            <w:vAlign w:val="bottom"/>
            <w:hideMark/>
          </w:tcPr>
          <w:p w14:paraId="191D3772"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Dishwasher</w:t>
            </w:r>
          </w:p>
        </w:tc>
        <w:tc>
          <w:tcPr>
            <w:tcW w:w="468" w:type="pct"/>
            <w:tcBorders>
              <w:top w:val="nil"/>
              <w:left w:val="nil"/>
              <w:bottom w:val="nil"/>
              <w:right w:val="nil"/>
            </w:tcBorders>
            <w:shd w:val="clear" w:color="000000" w:fill="FFFFFF"/>
            <w:noWrap/>
            <w:vAlign w:val="center"/>
            <w:hideMark/>
          </w:tcPr>
          <w:p w14:paraId="10E4CE9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34D6E102"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3282D54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603BFC0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3</w:t>
            </w:r>
          </w:p>
        </w:tc>
        <w:tc>
          <w:tcPr>
            <w:tcW w:w="379" w:type="pct"/>
            <w:tcBorders>
              <w:top w:val="nil"/>
              <w:left w:val="nil"/>
              <w:bottom w:val="nil"/>
              <w:right w:val="nil"/>
            </w:tcBorders>
            <w:shd w:val="clear" w:color="000000" w:fill="FFFFFF"/>
            <w:noWrap/>
            <w:vAlign w:val="center"/>
            <w:hideMark/>
          </w:tcPr>
          <w:p w14:paraId="7841459A"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5</w:t>
            </w:r>
          </w:p>
        </w:tc>
        <w:tc>
          <w:tcPr>
            <w:tcW w:w="379" w:type="pct"/>
            <w:tcBorders>
              <w:top w:val="nil"/>
              <w:left w:val="nil"/>
              <w:bottom w:val="nil"/>
              <w:right w:val="nil"/>
            </w:tcBorders>
            <w:shd w:val="clear" w:color="000000" w:fill="FFFFFF"/>
            <w:noWrap/>
            <w:vAlign w:val="center"/>
            <w:hideMark/>
          </w:tcPr>
          <w:p w14:paraId="7B181EB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6</w:t>
            </w:r>
          </w:p>
        </w:tc>
        <w:tc>
          <w:tcPr>
            <w:tcW w:w="559" w:type="pct"/>
            <w:tcBorders>
              <w:top w:val="nil"/>
              <w:left w:val="nil"/>
              <w:bottom w:val="nil"/>
              <w:right w:val="nil"/>
            </w:tcBorders>
            <w:shd w:val="clear" w:color="000000" w:fill="FFFFFF"/>
            <w:noWrap/>
            <w:vAlign w:val="center"/>
            <w:hideMark/>
          </w:tcPr>
          <w:p w14:paraId="675EBFAC" w14:textId="00091301"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7 </w:t>
            </w:r>
          </w:p>
        </w:tc>
      </w:tr>
      <w:tr w:rsidR="000C139E" w:rsidRPr="00627DA0" w14:paraId="32FF742C" w14:textId="77777777" w:rsidTr="000C139E">
        <w:trPr>
          <w:trHeight w:val="300"/>
        </w:trPr>
        <w:tc>
          <w:tcPr>
            <w:tcW w:w="857" w:type="pct"/>
            <w:tcBorders>
              <w:top w:val="nil"/>
              <w:left w:val="nil"/>
              <w:bottom w:val="nil"/>
              <w:right w:val="nil"/>
            </w:tcBorders>
            <w:noWrap/>
            <w:vAlign w:val="bottom"/>
            <w:hideMark/>
          </w:tcPr>
          <w:p w14:paraId="53A3FDAA"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Water Heat</w:t>
            </w:r>
          </w:p>
        </w:tc>
        <w:tc>
          <w:tcPr>
            <w:tcW w:w="1080" w:type="pct"/>
            <w:tcBorders>
              <w:top w:val="nil"/>
              <w:left w:val="nil"/>
              <w:bottom w:val="nil"/>
              <w:right w:val="nil"/>
            </w:tcBorders>
            <w:noWrap/>
            <w:vAlign w:val="bottom"/>
            <w:hideMark/>
          </w:tcPr>
          <w:p w14:paraId="55474D15"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HPWH</w:t>
            </w:r>
          </w:p>
        </w:tc>
        <w:tc>
          <w:tcPr>
            <w:tcW w:w="468" w:type="pct"/>
            <w:tcBorders>
              <w:top w:val="nil"/>
              <w:left w:val="nil"/>
              <w:bottom w:val="nil"/>
              <w:right w:val="nil"/>
            </w:tcBorders>
            <w:shd w:val="clear" w:color="000000" w:fill="FFFEF7"/>
            <w:noWrap/>
            <w:vAlign w:val="center"/>
            <w:hideMark/>
          </w:tcPr>
          <w:p w14:paraId="2B64EECE"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161</w:t>
            </w:r>
          </w:p>
        </w:tc>
        <w:tc>
          <w:tcPr>
            <w:tcW w:w="459" w:type="pct"/>
            <w:tcBorders>
              <w:top w:val="nil"/>
              <w:left w:val="nil"/>
              <w:bottom w:val="nil"/>
              <w:right w:val="nil"/>
            </w:tcBorders>
            <w:shd w:val="clear" w:color="000000" w:fill="FFFEF8"/>
            <w:noWrap/>
            <w:vAlign w:val="center"/>
            <w:hideMark/>
          </w:tcPr>
          <w:p w14:paraId="5A2A15F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141</w:t>
            </w:r>
          </w:p>
        </w:tc>
        <w:tc>
          <w:tcPr>
            <w:tcW w:w="463" w:type="pct"/>
            <w:tcBorders>
              <w:top w:val="nil"/>
              <w:left w:val="nil"/>
              <w:bottom w:val="nil"/>
              <w:right w:val="nil"/>
            </w:tcBorders>
            <w:shd w:val="clear" w:color="000000" w:fill="FFFEF8"/>
            <w:noWrap/>
            <w:vAlign w:val="center"/>
            <w:hideMark/>
          </w:tcPr>
          <w:p w14:paraId="1B98DF33"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151</w:t>
            </w:r>
          </w:p>
        </w:tc>
        <w:tc>
          <w:tcPr>
            <w:tcW w:w="357" w:type="pct"/>
            <w:tcBorders>
              <w:top w:val="nil"/>
              <w:left w:val="single" w:sz="4" w:space="0" w:color="auto"/>
              <w:bottom w:val="nil"/>
              <w:right w:val="nil"/>
            </w:tcBorders>
            <w:shd w:val="clear" w:color="000000" w:fill="FFFEFA"/>
            <w:noWrap/>
            <w:vAlign w:val="center"/>
            <w:hideMark/>
          </w:tcPr>
          <w:p w14:paraId="52B76BC9"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100</w:t>
            </w:r>
          </w:p>
        </w:tc>
        <w:tc>
          <w:tcPr>
            <w:tcW w:w="379" w:type="pct"/>
            <w:tcBorders>
              <w:top w:val="nil"/>
              <w:left w:val="nil"/>
              <w:bottom w:val="nil"/>
              <w:right w:val="nil"/>
            </w:tcBorders>
            <w:shd w:val="clear" w:color="000000" w:fill="FFFEF6"/>
            <w:noWrap/>
            <w:vAlign w:val="center"/>
            <w:hideMark/>
          </w:tcPr>
          <w:p w14:paraId="61AEEA10"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185</w:t>
            </w:r>
          </w:p>
        </w:tc>
        <w:tc>
          <w:tcPr>
            <w:tcW w:w="379" w:type="pct"/>
            <w:tcBorders>
              <w:top w:val="nil"/>
              <w:left w:val="nil"/>
              <w:bottom w:val="nil"/>
              <w:right w:val="nil"/>
            </w:tcBorders>
            <w:shd w:val="clear" w:color="000000" w:fill="FEFCF0"/>
            <w:noWrap/>
            <w:vAlign w:val="center"/>
            <w:hideMark/>
          </w:tcPr>
          <w:p w14:paraId="0E56652C"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289</w:t>
            </w:r>
          </w:p>
        </w:tc>
        <w:tc>
          <w:tcPr>
            <w:tcW w:w="559" w:type="pct"/>
            <w:tcBorders>
              <w:top w:val="nil"/>
              <w:left w:val="nil"/>
              <w:bottom w:val="nil"/>
              <w:right w:val="nil"/>
            </w:tcBorders>
            <w:shd w:val="clear" w:color="000000" w:fill="FEFBE9"/>
            <w:noWrap/>
            <w:vAlign w:val="center"/>
            <w:hideMark/>
          </w:tcPr>
          <w:p w14:paraId="2373F80B" w14:textId="3C7CFD91"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425 </w:t>
            </w:r>
          </w:p>
        </w:tc>
      </w:tr>
      <w:tr w:rsidR="000C139E" w:rsidRPr="00627DA0" w14:paraId="222F34B0" w14:textId="77777777" w:rsidTr="000C139E">
        <w:trPr>
          <w:trHeight w:val="300"/>
        </w:trPr>
        <w:tc>
          <w:tcPr>
            <w:tcW w:w="857" w:type="pct"/>
            <w:tcBorders>
              <w:top w:val="nil"/>
              <w:left w:val="nil"/>
              <w:bottom w:val="nil"/>
              <w:right w:val="nil"/>
            </w:tcBorders>
            <w:noWrap/>
            <w:vAlign w:val="bottom"/>
            <w:hideMark/>
          </w:tcPr>
          <w:p w14:paraId="0D187BFA"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Water Heat</w:t>
            </w:r>
          </w:p>
        </w:tc>
        <w:tc>
          <w:tcPr>
            <w:tcW w:w="1080" w:type="pct"/>
            <w:tcBorders>
              <w:top w:val="nil"/>
              <w:left w:val="nil"/>
              <w:bottom w:val="nil"/>
              <w:right w:val="nil"/>
            </w:tcBorders>
            <w:noWrap/>
            <w:vAlign w:val="bottom"/>
            <w:hideMark/>
          </w:tcPr>
          <w:p w14:paraId="7F58DDF0"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TSRV</w:t>
            </w:r>
          </w:p>
        </w:tc>
        <w:tc>
          <w:tcPr>
            <w:tcW w:w="468" w:type="pct"/>
            <w:tcBorders>
              <w:top w:val="nil"/>
              <w:left w:val="nil"/>
              <w:bottom w:val="nil"/>
              <w:right w:val="nil"/>
            </w:tcBorders>
            <w:shd w:val="clear" w:color="000000" w:fill="FFFFFF"/>
            <w:noWrap/>
            <w:vAlign w:val="center"/>
            <w:hideMark/>
          </w:tcPr>
          <w:p w14:paraId="0F47424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59" w:type="pct"/>
            <w:tcBorders>
              <w:top w:val="nil"/>
              <w:left w:val="nil"/>
              <w:bottom w:val="nil"/>
              <w:right w:val="nil"/>
            </w:tcBorders>
            <w:shd w:val="clear" w:color="000000" w:fill="FFFFFF"/>
            <w:noWrap/>
            <w:vAlign w:val="center"/>
            <w:hideMark/>
          </w:tcPr>
          <w:p w14:paraId="3BC5EAC4"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463" w:type="pct"/>
            <w:tcBorders>
              <w:top w:val="nil"/>
              <w:left w:val="nil"/>
              <w:bottom w:val="nil"/>
              <w:right w:val="nil"/>
            </w:tcBorders>
            <w:shd w:val="clear" w:color="000000" w:fill="FFFFFF"/>
            <w:noWrap/>
            <w:vAlign w:val="center"/>
            <w:hideMark/>
          </w:tcPr>
          <w:p w14:paraId="32CC46A8"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w:t>
            </w:r>
          </w:p>
        </w:tc>
        <w:tc>
          <w:tcPr>
            <w:tcW w:w="357" w:type="pct"/>
            <w:tcBorders>
              <w:top w:val="nil"/>
              <w:left w:val="single" w:sz="4" w:space="0" w:color="auto"/>
              <w:bottom w:val="nil"/>
              <w:right w:val="nil"/>
            </w:tcBorders>
            <w:shd w:val="clear" w:color="000000" w:fill="FFFFFF"/>
            <w:noWrap/>
            <w:vAlign w:val="center"/>
            <w:hideMark/>
          </w:tcPr>
          <w:p w14:paraId="61BF729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9</w:t>
            </w:r>
          </w:p>
        </w:tc>
        <w:tc>
          <w:tcPr>
            <w:tcW w:w="379" w:type="pct"/>
            <w:tcBorders>
              <w:top w:val="nil"/>
              <w:left w:val="nil"/>
              <w:bottom w:val="nil"/>
              <w:right w:val="nil"/>
            </w:tcBorders>
            <w:shd w:val="clear" w:color="000000" w:fill="FFFFFF"/>
            <w:noWrap/>
            <w:vAlign w:val="center"/>
            <w:hideMark/>
          </w:tcPr>
          <w:p w14:paraId="089D2491"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15</w:t>
            </w:r>
          </w:p>
        </w:tc>
        <w:tc>
          <w:tcPr>
            <w:tcW w:w="379" w:type="pct"/>
            <w:tcBorders>
              <w:top w:val="nil"/>
              <w:left w:val="nil"/>
              <w:bottom w:val="nil"/>
              <w:right w:val="nil"/>
            </w:tcBorders>
            <w:shd w:val="clear" w:color="000000" w:fill="FFFFFE"/>
            <w:noWrap/>
            <w:vAlign w:val="center"/>
            <w:hideMark/>
          </w:tcPr>
          <w:p w14:paraId="0F908A3F" w14:textId="77777777" w:rsidR="000C139E" w:rsidRPr="00627DA0" w:rsidRDefault="000C139E" w:rsidP="000C139E">
            <w:pPr>
              <w:spacing w:after="0" w:line="240" w:lineRule="auto"/>
              <w:jc w:val="right"/>
              <w:rPr>
                <w:rFonts w:eastAsia="Times New Roman" w:cs="Times New Roman"/>
                <w:color w:val="000000"/>
                <w:sz w:val="18"/>
                <w:szCs w:val="18"/>
              </w:rPr>
            </w:pPr>
            <w:r w:rsidRPr="00627DA0">
              <w:rPr>
                <w:rFonts w:eastAsia="Times New Roman" w:cs="Times New Roman"/>
                <w:color w:val="000000"/>
                <w:sz w:val="18"/>
                <w:szCs w:val="18"/>
              </w:rPr>
              <w:t>24</w:t>
            </w:r>
          </w:p>
        </w:tc>
        <w:tc>
          <w:tcPr>
            <w:tcW w:w="559" w:type="pct"/>
            <w:tcBorders>
              <w:top w:val="nil"/>
              <w:left w:val="nil"/>
              <w:bottom w:val="nil"/>
              <w:right w:val="nil"/>
            </w:tcBorders>
            <w:shd w:val="clear" w:color="000000" w:fill="FFFFFE"/>
            <w:noWrap/>
            <w:vAlign w:val="center"/>
            <w:hideMark/>
          </w:tcPr>
          <w:p w14:paraId="371455E0" w14:textId="1F52111D" w:rsidR="000C139E" w:rsidRPr="00627DA0" w:rsidRDefault="000C139E" w:rsidP="000C139E">
            <w:pPr>
              <w:spacing w:after="0" w:line="240" w:lineRule="auto"/>
              <w:jc w:val="right"/>
              <w:rPr>
                <w:rFonts w:eastAsia="Times New Roman" w:cs="Times New Roman"/>
                <w:color w:val="000000"/>
                <w:sz w:val="18"/>
                <w:szCs w:val="18"/>
              </w:rPr>
            </w:pPr>
            <w:r w:rsidRPr="00627DA0">
              <w:rPr>
                <w:rFonts w:ascii="Aptos Display" w:hAnsi="Aptos Display"/>
                <w:color w:val="000000"/>
                <w:sz w:val="18"/>
                <w:szCs w:val="18"/>
              </w:rPr>
              <w:t xml:space="preserve">              36 </w:t>
            </w:r>
          </w:p>
        </w:tc>
      </w:tr>
      <w:tr w:rsidR="000C139E" w:rsidRPr="00627DA0" w14:paraId="440E9677" w14:textId="77777777" w:rsidTr="000C139E">
        <w:trPr>
          <w:trHeight w:val="315"/>
        </w:trPr>
        <w:tc>
          <w:tcPr>
            <w:tcW w:w="857" w:type="pct"/>
            <w:tcBorders>
              <w:top w:val="single" w:sz="4" w:space="0" w:color="auto"/>
              <w:left w:val="nil"/>
              <w:bottom w:val="single" w:sz="8" w:space="0" w:color="auto"/>
              <w:right w:val="nil"/>
            </w:tcBorders>
            <w:noWrap/>
            <w:vAlign w:val="bottom"/>
            <w:hideMark/>
          </w:tcPr>
          <w:p w14:paraId="08051444" w14:textId="77777777" w:rsidR="000C139E" w:rsidRPr="00627DA0" w:rsidRDefault="000C139E" w:rsidP="000C139E">
            <w:pPr>
              <w:spacing w:after="0" w:line="240" w:lineRule="auto"/>
              <w:jc w:val="left"/>
              <w:rPr>
                <w:rFonts w:eastAsia="Times New Roman" w:cs="Times New Roman"/>
                <w:color w:val="000000"/>
                <w:sz w:val="18"/>
                <w:szCs w:val="18"/>
              </w:rPr>
            </w:pPr>
            <w:r w:rsidRPr="00627DA0">
              <w:rPr>
                <w:rFonts w:eastAsia="Times New Roman" w:cs="Times New Roman"/>
                <w:color w:val="000000"/>
                <w:sz w:val="18"/>
                <w:szCs w:val="18"/>
              </w:rPr>
              <w:t> </w:t>
            </w:r>
          </w:p>
        </w:tc>
        <w:tc>
          <w:tcPr>
            <w:tcW w:w="1080" w:type="pct"/>
            <w:tcBorders>
              <w:top w:val="single" w:sz="4" w:space="0" w:color="auto"/>
              <w:left w:val="nil"/>
              <w:bottom w:val="single" w:sz="8" w:space="0" w:color="auto"/>
              <w:right w:val="nil"/>
            </w:tcBorders>
            <w:noWrap/>
            <w:vAlign w:val="bottom"/>
            <w:hideMark/>
          </w:tcPr>
          <w:p w14:paraId="45E71D64" w14:textId="77777777" w:rsidR="000C139E" w:rsidRPr="00627DA0" w:rsidRDefault="000C139E" w:rsidP="000C139E">
            <w:pPr>
              <w:spacing w:after="0" w:line="240" w:lineRule="auto"/>
              <w:jc w:val="left"/>
              <w:rPr>
                <w:rFonts w:eastAsia="Times New Roman" w:cs="Times New Roman"/>
                <w:b/>
                <w:bCs/>
                <w:color w:val="000000"/>
                <w:sz w:val="18"/>
                <w:szCs w:val="18"/>
              </w:rPr>
            </w:pPr>
            <w:r w:rsidRPr="00627DA0">
              <w:rPr>
                <w:rFonts w:eastAsia="Times New Roman" w:cs="Times New Roman"/>
                <w:b/>
                <w:bCs/>
                <w:color w:val="000000"/>
                <w:sz w:val="18"/>
                <w:szCs w:val="18"/>
              </w:rPr>
              <w:t>Total</w:t>
            </w:r>
          </w:p>
        </w:tc>
        <w:tc>
          <w:tcPr>
            <w:tcW w:w="468" w:type="pct"/>
            <w:tcBorders>
              <w:top w:val="single" w:sz="4" w:space="0" w:color="auto"/>
              <w:left w:val="nil"/>
              <w:bottom w:val="single" w:sz="8" w:space="0" w:color="auto"/>
              <w:right w:val="nil"/>
            </w:tcBorders>
            <w:noWrap/>
            <w:vAlign w:val="center"/>
            <w:hideMark/>
          </w:tcPr>
          <w:p w14:paraId="4E5F5101"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3,748</w:t>
            </w:r>
          </w:p>
        </w:tc>
        <w:tc>
          <w:tcPr>
            <w:tcW w:w="459" w:type="pct"/>
            <w:tcBorders>
              <w:top w:val="single" w:sz="4" w:space="0" w:color="auto"/>
              <w:left w:val="nil"/>
              <w:bottom w:val="single" w:sz="8" w:space="0" w:color="auto"/>
              <w:right w:val="nil"/>
            </w:tcBorders>
            <w:noWrap/>
            <w:vAlign w:val="center"/>
            <w:hideMark/>
          </w:tcPr>
          <w:p w14:paraId="39B37EBC"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1,142</w:t>
            </w:r>
          </w:p>
        </w:tc>
        <w:tc>
          <w:tcPr>
            <w:tcW w:w="463" w:type="pct"/>
            <w:tcBorders>
              <w:top w:val="single" w:sz="4" w:space="0" w:color="auto"/>
              <w:left w:val="nil"/>
              <w:bottom w:val="single" w:sz="8" w:space="0" w:color="auto"/>
              <w:right w:val="nil"/>
            </w:tcBorders>
            <w:noWrap/>
            <w:vAlign w:val="center"/>
            <w:hideMark/>
          </w:tcPr>
          <w:p w14:paraId="3611D74D"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1,027</w:t>
            </w:r>
          </w:p>
        </w:tc>
        <w:tc>
          <w:tcPr>
            <w:tcW w:w="357" w:type="pct"/>
            <w:tcBorders>
              <w:top w:val="single" w:sz="4" w:space="0" w:color="auto"/>
              <w:left w:val="single" w:sz="4" w:space="0" w:color="auto"/>
              <w:bottom w:val="single" w:sz="8" w:space="0" w:color="auto"/>
              <w:right w:val="nil"/>
            </w:tcBorders>
            <w:noWrap/>
            <w:vAlign w:val="center"/>
            <w:hideMark/>
          </w:tcPr>
          <w:p w14:paraId="657D791D"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686</w:t>
            </w:r>
          </w:p>
        </w:tc>
        <w:tc>
          <w:tcPr>
            <w:tcW w:w="379" w:type="pct"/>
            <w:tcBorders>
              <w:top w:val="single" w:sz="4" w:space="0" w:color="auto"/>
              <w:left w:val="nil"/>
              <w:bottom w:val="single" w:sz="8" w:space="0" w:color="auto"/>
              <w:right w:val="nil"/>
            </w:tcBorders>
            <w:noWrap/>
            <w:vAlign w:val="center"/>
            <w:hideMark/>
          </w:tcPr>
          <w:p w14:paraId="199C4D11"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1,093</w:t>
            </w:r>
          </w:p>
        </w:tc>
        <w:tc>
          <w:tcPr>
            <w:tcW w:w="379" w:type="pct"/>
            <w:tcBorders>
              <w:top w:val="single" w:sz="4" w:space="0" w:color="auto"/>
              <w:left w:val="nil"/>
              <w:bottom w:val="single" w:sz="8" w:space="0" w:color="auto"/>
              <w:right w:val="nil"/>
            </w:tcBorders>
            <w:noWrap/>
            <w:vAlign w:val="center"/>
            <w:hideMark/>
          </w:tcPr>
          <w:p w14:paraId="1C453E80" w14:textId="77777777"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eastAsia="Times New Roman" w:cs="Times New Roman"/>
                <w:b/>
                <w:bCs/>
                <w:color w:val="000000"/>
                <w:sz w:val="18"/>
                <w:szCs w:val="18"/>
              </w:rPr>
              <w:t>1,592</w:t>
            </w:r>
          </w:p>
        </w:tc>
        <w:tc>
          <w:tcPr>
            <w:tcW w:w="559" w:type="pct"/>
            <w:tcBorders>
              <w:top w:val="single" w:sz="4" w:space="0" w:color="auto"/>
              <w:left w:val="nil"/>
              <w:bottom w:val="single" w:sz="8" w:space="0" w:color="auto"/>
              <w:right w:val="nil"/>
            </w:tcBorders>
            <w:noWrap/>
            <w:vAlign w:val="center"/>
            <w:hideMark/>
          </w:tcPr>
          <w:p w14:paraId="277B6641" w14:textId="551FB878" w:rsidR="000C139E" w:rsidRPr="00627DA0" w:rsidRDefault="000C139E" w:rsidP="000C139E">
            <w:pPr>
              <w:spacing w:after="0" w:line="240" w:lineRule="auto"/>
              <w:jc w:val="right"/>
              <w:rPr>
                <w:rFonts w:eastAsia="Times New Roman" w:cs="Times New Roman"/>
                <w:b/>
                <w:bCs/>
                <w:color w:val="000000"/>
                <w:sz w:val="18"/>
                <w:szCs w:val="18"/>
              </w:rPr>
            </w:pPr>
            <w:r w:rsidRPr="00627DA0">
              <w:rPr>
                <w:rFonts w:ascii="Aptos Display" w:hAnsi="Aptos Display"/>
                <w:b/>
                <w:bCs/>
                <w:color w:val="000000"/>
                <w:sz w:val="18"/>
                <w:szCs w:val="18"/>
              </w:rPr>
              <w:t xml:space="preserve">       2,213 </w:t>
            </w:r>
          </w:p>
        </w:tc>
      </w:tr>
    </w:tbl>
    <w:p w14:paraId="7EAF3EAD" w14:textId="77777777" w:rsidR="00D64E87" w:rsidRPr="00627DA0" w:rsidRDefault="00D64E87" w:rsidP="00D64E87">
      <w:pPr>
        <w:spacing w:before="240"/>
        <w:rPr>
          <w:i/>
          <w:iCs/>
          <w:sz w:val="20"/>
          <w:szCs w:val="20"/>
        </w:rPr>
      </w:pPr>
      <w:r w:rsidRPr="00627DA0">
        <w:rPr>
          <w:i/>
          <w:iCs/>
          <w:sz w:val="20"/>
          <w:szCs w:val="20"/>
        </w:rPr>
        <w:t>Note: For clarity, in the table above, measure categories with no program achievements and no cost-effective potential have been removed. In addition, note that some measures have savings values that are small and cannot be shown at this level of resolution. These values show as 0 in this and following tables while a true zero value is shown as a dash.</w:t>
      </w:r>
    </w:p>
    <w:p w14:paraId="24045ED2" w14:textId="77777777" w:rsidR="00D64E87" w:rsidRPr="00627DA0" w:rsidRDefault="00D64E87" w:rsidP="00D64E87">
      <w:pPr>
        <w:spacing w:before="240"/>
        <w:rPr>
          <w:rFonts w:cs="Calibri Light"/>
        </w:rPr>
      </w:pPr>
      <w:r w:rsidRPr="00627DA0">
        <w:rPr>
          <w:rFonts w:cs="Calibri Light"/>
        </w:rPr>
        <w:t xml:space="preserve">The following sections discuss the alignment within each residential end use. </w:t>
      </w:r>
    </w:p>
    <w:p w14:paraId="56B66E63" w14:textId="77777777" w:rsidR="00D64E87" w:rsidRPr="00627DA0" w:rsidRDefault="00D64E87" w:rsidP="00D64E87">
      <w:pPr>
        <w:pStyle w:val="Heading4"/>
      </w:pPr>
      <w:r w:rsidRPr="00627DA0">
        <w:lastRenderedPageBreak/>
        <w:t>Appliances</w:t>
      </w:r>
    </w:p>
    <w:p w14:paraId="2FB5AC79" w14:textId="77777777" w:rsidR="00D64E87" w:rsidRPr="00627DA0" w:rsidRDefault="00D64E87" w:rsidP="00D64E87">
      <w:pPr>
        <w:rPr>
          <w:rFonts w:cs="Calibri Light"/>
        </w:rPr>
      </w:pPr>
      <w:r w:rsidRPr="00627DA0">
        <w:rPr>
          <w:rFonts w:cs="Calibri Light"/>
        </w:rPr>
        <w:t>In this end use, the savings are primarily from NEEA’s market transformation initiatives. NEEA’s work includes an initiative for retail products that includes appliances. The savings from this work typically grow over time as markets transform. Ramp rates were adjusted to align with the NEEA savings.</w:t>
      </w:r>
    </w:p>
    <w:p w14:paraId="67A675FF" w14:textId="77777777" w:rsidR="00D64E87" w:rsidRPr="00627DA0" w:rsidRDefault="00D64E87" w:rsidP="00D64E87">
      <w:pPr>
        <w:pStyle w:val="Heading4"/>
      </w:pPr>
      <w:r w:rsidRPr="00627DA0">
        <w:t>Cooking</w:t>
      </w:r>
    </w:p>
    <w:p w14:paraId="7809A1E2" w14:textId="77777777" w:rsidR="00D64E87" w:rsidRPr="00627DA0" w:rsidRDefault="00D64E87" w:rsidP="00D64E87">
      <w:r w:rsidRPr="00627DA0">
        <w:t>Neither Inland Power nor NEEA have savings in this end use, so the measures—microwaves and ovens—were given slow ramp rates.</w:t>
      </w:r>
    </w:p>
    <w:p w14:paraId="24944AAC" w14:textId="77777777" w:rsidR="00D64E87" w:rsidRPr="00627DA0" w:rsidRDefault="00D64E87" w:rsidP="00D64E87">
      <w:pPr>
        <w:pStyle w:val="Heading4"/>
      </w:pPr>
      <w:r w:rsidRPr="00627DA0">
        <w:t>Electronics</w:t>
      </w:r>
    </w:p>
    <w:p w14:paraId="68016DCA" w14:textId="77777777" w:rsidR="00D64E87" w:rsidRPr="00627DA0" w:rsidRDefault="00D64E87" w:rsidP="00D64E87">
      <w:r w:rsidRPr="00627DA0">
        <w:t>The historical savings in this end use come from NEEA’s work advancing efficient desktop computers and a 2022 effort from Inland Power with advanced power strips. In the CPA, efficient Energy Star desktop computers were not cost-effective and therefore not incorporated in the future potential. The Regional Technical Forum (RTF) has recently deactivated advanced power strips due to a lack of data and confidence in the savings, so the measure was removed from this CPA. Going forward, the cost-effective potential is associated with TVs and laptops. The study team slowed the ramp rate for these categories since there are no current Inland Power programs or NEEA initiatives that would address these measures.</w:t>
      </w:r>
    </w:p>
    <w:p w14:paraId="19DDDF43" w14:textId="77777777" w:rsidR="00D64E87" w:rsidRPr="00627DA0" w:rsidRDefault="00D64E87" w:rsidP="00D64E87">
      <w:pPr>
        <w:pStyle w:val="Heading4"/>
      </w:pPr>
      <w:r w:rsidRPr="00627DA0">
        <w:t>HVAC</w:t>
      </w:r>
    </w:p>
    <w:p w14:paraId="6FCAD0FF" w14:textId="77777777" w:rsidR="00D64E87" w:rsidRPr="00627DA0" w:rsidRDefault="00D64E87" w:rsidP="00D64E87">
      <w:r w:rsidRPr="00627DA0">
        <w:t xml:space="preserve">Inland Power’s residential program savings for the past three years are primarily in the HVAC end use. More than 80% of the historical 2022 – 2024 savings are from Inland Power’s programs while the remainder are a result of NEEA’s market transformation in this area. Within Inland Power’s HVAC savings, the measures with the largest savings include smart thermostats, air source heat pumps (ASHP)s, weatherization, and ductless heat pumps (DHP). </w:t>
      </w:r>
    </w:p>
    <w:p w14:paraId="52C0C7AA" w14:textId="77777777" w:rsidR="00D64E87" w:rsidRPr="00627DA0" w:rsidRDefault="00D64E87" w:rsidP="00D64E87">
      <w:r w:rsidRPr="00627DA0">
        <w:t xml:space="preserve">Measures in the HVAC end use are often expensive. Although ASHPs typically struggle to be cost-effective, the study team included the incentives provided for heat pumps through the federal Inflation Reduction Act (IRA). While much of IRA has recently been repealed, program funding has already been distributed to the states. Including these incentives improves the cost-effectiveness of ASHPs, particularly for income-qualified households, who are eligible for more substantial benefits. </w:t>
      </w:r>
    </w:p>
    <w:p w14:paraId="48B89681" w14:textId="77777777" w:rsidR="00D64E87" w:rsidRPr="00627DA0" w:rsidRDefault="00D64E87" w:rsidP="00D64E87">
      <w:r w:rsidRPr="00627DA0">
        <w:t>None of the DHP measures were identified as cost effective after updating measure assumptions with recent RTF updates. This causes an unavoidable disconnect between the program history and future potential.</w:t>
      </w:r>
    </w:p>
    <w:p w14:paraId="6C72B338" w14:textId="77777777" w:rsidR="00D64E87" w:rsidRPr="00627DA0" w:rsidRDefault="00D64E87" w:rsidP="00D64E87">
      <w:r w:rsidRPr="00627DA0">
        <w:t xml:space="preserve">In the weatherization category, only a portion of the measures were determined to be cost-effective. </w:t>
      </w:r>
    </w:p>
    <w:p w14:paraId="07525BD1" w14:textId="77777777" w:rsidR="00D64E87" w:rsidRPr="00627DA0" w:rsidRDefault="00D64E87" w:rsidP="00D64E87">
      <w:r w:rsidRPr="00627DA0">
        <w:t xml:space="preserve">Additional cost-effective potential is available through duct sealing and efficient central air conditioning systems. The study team assumed slow ramp rates for these measures to allow time for Inland Power to develop a program. </w:t>
      </w:r>
    </w:p>
    <w:p w14:paraId="7D9906C3" w14:textId="77777777" w:rsidR="00D64E87" w:rsidRPr="00627DA0" w:rsidRDefault="00D64E87" w:rsidP="00D64E87">
      <w:pPr>
        <w:pStyle w:val="Heading4"/>
      </w:pPr>
      <w:r w:rsidRPr="00627DA0">
        <w:t>Lighting</w:t>
      </w:r>
    </w:p>
    <w:p w14:paraId="72A55CA0" w14:textId="77777777" w:rsidR="00D64E87" w:rsidRPr="00627DA0" w:rsidRDefault="00D64E87" w:rsidP="00D64E87">
      <w:r w:rsidRPr="00627DA0">
        <w:t>The lighting end use is now subject to product standards that cover many screw-in lamps. The potential that remains is in fixtures with integrated LEDs and less common bulb types. There is not currently a program to incentivize LED fixtures, so these measures were given a slower ramp rate.</w:t>
      </w:r>
    </w:p>
    <w:p w14:paraId="4CDF54A5" w14:textId="77777777" w:rsidR="00D64E87" w:rsidRPr="00627DA0" w:rsidRDefault="00D64E87" w:rsidP="00D64E87">
      <w:pPr>
        <w:pStyle w:val="Heading4"/>
      </w:pPr>
      <w:r w:rsidRPr="00627DA0">
        <w:lastRenderedPageBreak/>
        <w:t>Water Heat</w:t>
      </w:r>
    </w:p>
    <w:p w14:paraId="2EBF14C9" w14:textId="77777777" w:rsidR="00D64E87" w:rsidRPr="00627DA0" w:rsidRDefault="00D64E87" w:rsidP="00D64E87">
      <w:r w:rsidRPr="00627DA0">
        <w:t>The past savings in the water heating category are predominantly from NEEA’s market transformation efforts prioritizing a transition to heat pump water heaters.</w:t>
      </w:r>
    </w:p>
    <w:p w14:paraId="738D2A80" w14:textId="77777777" w:rsidR="00D64E87" w:rsidRPr="00627DA0" w:rsidRDefault="00D64E87" w:rsidP="00D64E87">
      <w:r w:rsidRPr="00627DA0">
        <w:t>Beginning in 2029, heat pump water heaters are subject to a federal standard that will require the technology for many common tank sizes. As there are questions on possible loopholes that leave the future role of utility programs in question, the project team kept the savings potential for these measures in 2029. The state of this market can be re-evaluated in Inland Power’s 2027 CPA.</w:t>
      </w:r>
    </w:p>
    <w:p w14:paraId="09A45548" w14:textId="77777777" w:rsidR="00D64E87" w:rsidRPr="00627DA0" w:rsidRDefault="00D64E87" w:rsidP="00D64E87">
      <w:r w:rsidRPr="00627DA0">
        <w:t>Washington has state product standards for showerheads and aerators, so there is no potential in these categories. The study team applied slower ramp rates to the remaining measure categories with cost-effective potential, which includes circulator pumps and controls, dishwashers, and thermostatic restrictor valves (TSRV).</w:t>
      </w:r>
    </w:p>
    <w:p w14:paraId="00686A7A" w14:textId="32D1A147" w:rsidR="00D64E87" w:rsidRPr="00627DA0" w:rsidRDefault="00D64E87" w:rsidP="00D64E87">
      <w:r w:rsidRPr="00627DA0">
        <w:fldChar w:fldCharType="begin"/>
      </w:r>
      <w:r w:rsidRPr="00627DA0">
        <w:instrText xml:space="preserve"> REF _Ref65673022 \h  \* MERGEFORMAT </w:instrText>
      </w:r>
      <w:r w:rsidRPr="00627DA0">
        <w:fldChar w:fldCharType="separate"/>
      </w:r>
      <w:r w:rsidR="00431297" w:rsidRPr="00627DA0">
        <w:t>Table 25</w:t>
      </w:r>
      <w:r w:rsidRPr="00627DA0">
        <w:fldChar w:fldCharType="end"/>
      </w:r>
      <w:r w:rsidRPr="00627DA0">
        <w:t xml:space="preserve"> below summarizes the residential measure category results in </w:t>
      </w:r>
      <w:r w:rsidRPr="00627DA0">
        <w:fldChar w:fldCharType="begin"/>
      </w:r>
      <w:r w:rsidRPr="00627DA0">
        <w:instrText xml:space="preserve"> REF _Ref65673101 \h  \* MERGEFORMAT </w:instrText>
      </w:r>
      <w:r w:rsidRPr="00627DA0">
        <w:fldChar w:fldCharType="separate"/>
      </w:r>
      <w:r w:rsidR="00431297" w:rsidRPr="00627DA0">
        <w:t>Table 24</w:t>
      </w:r>
      <w:r w:rsidRPr="00627DA0">
        <w:fldChar w:fldCharType="end"/>
      </w:r>
      <w:r w:rsidRPr="00627DA0">
        <w:t xml:space="preserve"> by end use. </w:t>
      </w:r>
    </w:p>
    <w:p w14:paraId="40C96A17" w14:textId="4BC518CF" w:rsidR="00D64E87" w:rsidRPr="00627DA0" w:rsidRDefault="00D64E87" w:rsidP="00D64E87">
      <w:pPr>
        <w:pStyle w:val="Caption"/>
        <w:rPr>
          <w:szCs w:val="20"/>
        </w:rPr>
      </w:pPr>
      <w:bookmarkStart w:id="183" w:name="_Ref65673022"/>
      <w:bookmarkStart w:id="184" w:name="_Toc207870754"/>
      <w:r w:rsidRPr="00627DA0">
        <w:rPr>
          <w:szCs w:val="20"/>
        </w:rPr>
        <w:t xml:space="preserve">Table </w:t>
      </w:r>
      <w:r w:rsidRPr="00627DA0">
        <w:rPr>
          <w:szCs w:val="20"/>
        </w:rPr>
        <w:fldChar w:fldCharType="begin"/>
      </w:r>
      <w:r w:rsidRPr="00627DA0">
        <w:rPr>
          <w:szCs w:val="20"/>
        </w:rPr>
        <w:instrText xml:space="preserve"> SEQ Table \* ARABIC </w:instrText>
      </w:r>
      <w:r w:rsidRPr="00627DA0">
        <w:rPr>
          <w:szCs w:val="20"/>
        </w:rPr>
        <w:fldChar w:fldCharType="separate"/>
      </w:r>
      <w:r w:rsidR="00431297" w:rsidRPr="00627DA0">
        <w:rPr>
          <w:szCs w:val="20"/>
        </w:rPr>
        <w:t>25</w:t>
      </w:r>
      <w:r w:rsidRPr="00627DA0">
        <w:rPr>
          <w:szCs w:val="20"/>
        </w:rPr>
        <w:fldChar w:fldCharType="end"/>
      </w:r>
      <w:bookmarkEnd w:id="183"/>
      <w:r w:rsidRPr="00627DA0">
        <w:rPr>
          <w:szCs w:val="20"/>
        </w:rPr>
        <w:t>: Alignment of Residential Program History and Potential by End Use (MWh)</w:t>
      </w:r>
      <w:bookmarkEnd w:id="184"/>
    </w:p>
    <w:tbl>
      <w:tblPr>
        <w:tblW w:w="5000" w:type="pct"/>
        <w:tblLook w:val="04A0" w:firstRow="1" w:lastRow="0" w:firstColumn="1" w:lastColumn="0" w:noHBand="0" w:noVBand="1"/>
      </w:tblPr>
      <w:tblGrid>
        <w:gridCol w:w="1692"/>
        <w:gridCol w:w="2113"/>
        <w:gridCol w:w="921"/>
        <w:gridCol w:w="929"/>
        <w:gridCol w:w="887"/>
        <w:gridCol w:w="940"/>
        <w:gridCol w:w="940"/>
        <w:gridCol w:w="938"/>
      </w:tblGrid>
      <w:tr w:rsidR="00D64E87" w:rsidRPr="00627DA0" w14:paraId="3B833F36" w14:textId="77777777" w:rsidTr="002B151F">
        <w:trPr>
          <w:trHeight w:val="315"/>
        </w:trPr>
        <w:tc>
          <w:tcPr>
            <w:tcW w:w="904" w:type="pct"/>
            <w:tcBorders>
              <w:top w:val="single" w:sz="8" w:space="0" w:color="auto"/>
              <w:left w:val="nil"/>
              <w:bottom w:val="single" w:sz="8" w:space="0" w:color="auto"/>
              <w:right w:val="nil"/>
            </w:tcBorders>
            <w:shd w:val="clear" w:color="000000" w:fill="44546A"/>
            <w:noWrap/>
            <w:vAlign w:val="bottom"/>
            <w:hideMark/>
          </w:tcPr>
          <w:p w14:paraId="09F7CECD"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 </w:t>
            </w:r>
          </w:p>
        </w:tc>
        <w:tc>
          <w:tcPr>
            <w:tcW w:w="2117" w:type="pct"/>
            <w:gridSpan w:val="3"/>
            <w:tcBorders>
              <w:top w:val="single" w:sz="8" w:space="0" w:color="auto"/>
              <w:left w:val="nil"/>
              <w:bottom w:val="single" w:sz="8" w:space="0" w:color="auto"/>
              <w:right w:val="single" w:sz="4" w:space="0" w:color="000000"/>
            </w:tcBorders>
            <w:shd w:val="clear" w:color="000000" w:fill="44546A"/>
            <w:noWrap/>
            <w:vAlign w:val="bottom"/>
            <w:hideMark/>
          </w:tcPr>
          <w:p w14:paraId="02C53331" w14:textId="77777777" w:rsidR="00D64E87" w:rsidRPr="00627DA0" w:rsidRDefault="00D64E87" w:rsidP="002B151F">
            <w:pPr>
              <w:spacing w:after="0" w:line="240" w:lineRule="auto"/>
              <w:jc w:val="center"/>
              <w:rPr>
                <w:rFonts w:eastAsia="Times New Roman" w:cs="Times New Roman"/>
                <w:b/>
                <w:bCs/>
                <w:color w:val="FFFFFF"/>
                <w:sz w:val="20"/>
                <w:szCs w:val="20"/>
              </w:rPr>
            </w:pPr>
            <w:r w:rsidRPr="00627DA0">
              <w:rPr>
                <w:rFonts w:eastAsia="Times New Roman" w:cs="Times New Roman"/>
                <w:b/>
                <w:bCs/>
                <w:color w:val="FFFFFF"/>
                <w:sz w:val="20"/>
                <w:szCs w:val="20"/>
              </w:rPr>
              <w:t>Program History</w:t>
            </w:r>
          </w:p>
        </w:tc>
        <w:tc>
          <w:tcPr>
            <w:tcW w:w="1979" w:type="pct"/>
            <w:gridSpan w:val="4"/>
            <w:tcBorders>
              <w:top w:val="single" w:sz="8" w:space="0" w:color="auto"/>
              <w:left w:val="single" w:sz="4" w:space="0" w:color="auto"/>
              <w:bottom w:val="single" w:sz="8" w:space="0" w:color="auto"/>
              <w:right w:val="nil"/>
            </w:tcBorders>
            <w:shd w:val="clear" w:color="000000" w:fill="44546A"/>
            <w:noWrap/>
            <w:vAlign w:val="bottom"/>
            <w:hideMark/>
          </w:tcPr>
          <w:p w14:paraId="6249926D" w14:textId="77777777" w:rsidR="00D64E87" w:rsidRPr="00627DA0" w:rsidRDefault="00D64E87" w:rsidP="002B151F">
            <w:pPr>
              <w:spacing w:after="0" w:line="240" w:lineRule="auto"/>
              <w:jc w:val="center"/>
              <w:rPr>
                <w:rFonts w:eastAsia="Times New Roman" w:cs="Times New Roman"/>
                <w:b/>
                <w:bCs/>
                <w:color w:val="FFFFFF"/>
                <w:sz w:val="20"/>
                <w:szCs w:val="20"/>
              </w:rPr>
            </w:pPr>
            <w:r w:rsidRPr="00627DA0">
              <w:rPr>
                <w:rFonts w:eastAsia="Times New Roman" w:cs="Times New Roman"/>
                <w:b/>
                <w:bCs/>
                <w:color w:val="FFFFFF"/>
                <w:sz w:val="20"/>
                <w:szCs w:val="20"/>
              </w:rPr>
              <w:t>CPA Cost-Effective Potential</w:t>
            </w:r>
          </w:p>
        </w:tc>
      </w:tr>
      <w:tr w:rsidR="00D64E87" w:rsidRPr="00627DA0" w14:paraId="239FF4E8" w14:textId="77777777" w:rsidTr="002B151F">
        <w:trPr>
          <w:trHeight w:val="315"/>
        </w:trPr>
        <w:tc>
          <w:tcPr>
            <w:tcW w:w="904" w:type="pct"/>
            <w:tcBorders>
              <w:top w:val="nil"/>
              <w:left w:val="nil"/>
              <w:bottom w:val="single" w:sz="8" w:space="0" w:color="auto"/>
              <w:right w:val="nil"/>
            </w:tcBorders>
            <w:shd w:val="clear" w:color="000000" w:fill="002C7C"/>
            <w:noWrap/>
            <w:vAlign w:val="bottom"/>
            <w:hideMark/>
          </w:tcPr>
          <w:p w14:paraId="351CBC68"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End Use</w:t>
            </w:r>
          </w:p>
        </w:tc>
        <w:tc>
          <w:tcPr>
            <w:tcW w:w="1129" w:type="pct"/>
            <w:tcBorders>
              <w:top w:val="nil"/>
              <w:left w:val="nil"/>
              <w:bottom w:val="single" w:sz="8" w:space="0" w:color="auto"/>
              <w:right w:val="nil"/>
            </w:tcBorders>
            <w:shd w:val="clear" w:color="000000" w:fill="002C7C"/>
            <w:noWrap/>
            <w:vAlign w:val="bottom"/>
            <w:hideMark/>
          </w:tcPr>
          <w:p w14:paraId="2A74A7B1"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2022</w:t>
            </w:r>
          </w:p>
        </w:tc>
        <w:tc>
          <w:tcPr>
            <w:tcW w:w="492" w:type="pct"/>
            <w:tcBorders>
              <w:top w:val="nil"/>
              <w:left w:val="nil"/>
              <w:bottom w:val="single" w:sz="8" w:space="0" w:color="auto"/>
              <w:right w:val="nil"/>
            </w:tcBorders>
            <w:shd w:val="clear" w:color="000000" w:fill="002C7C"/>
            <w:noWrap/>
            <w:vAlign w:val="bottom"/>
            <w:hideMark/>
          </w:tcPr>
          <w:p w14:paraId="5851F6D5"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2023</w:t>
            </w:r>
          </w:p>
        </w:tc>
        <w:tc>
          <w:tcPr>
            <w:tcW w:w="496" w:type="pct"/>
            <w:tcBorders>
              <w:top w:val="nil"/>
              <w:left w:val="nil"/>
              <w:bottom w:val="single" w:sz="8" w:space="0" w:color="auto"/>
              <w:right w:val="nil"/>
            </w:tcBorders>
            <w:shd w:val="clear" w:color="000000" w:fill="002C7C"/>
            <w:noWrap/>
            <w:vAlign w:val="bottom"/>
            <w:hideMark/>
          </w:tcPr>
          <w:p w14:paraId="5B7738CC"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2024</w:t>
            </w:r>
          </w:p>
        </w:tc>
        <w:tc>
          <w:tcPr>
            <w:tcW w:w="474" w:type="pct"/>
            <w:tcBorders>
              <w:top w:val="nil"/>
              <w:left w:val="single" w:sz="4" w:space="0" w:color="auto"/>
              <w:bottom w:val="single" w:sz="8" w:space="0" w:color="auto"/>
              <w:right w:val="nil"/>
            </w:tcBorders>
            <w:shd w:val="clear" w:color="000000" w:fill="002C7C"/>
            <w:noWrap/>
            <w:vAlign w:val="bottom"/>
            <w:hideMark/>
          </w:tcPr>
          <w:p w14:paraId="07CAC7C6"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2026</w:t>
            </w:r>
          </w:p>
        </w:tc>
        <w:tc>
          <w:tcPr>
            <w:tcW w:w="502" w:type="pct"/>
            <w:tcBorders>
              <w:top w:val="nil"/>
              <w:left w:val="nil"/>
              <w:bottom w:val="single" w:sz="8" w:space="0" w:color="auto"/>
              <w:right w:val="nil"/>
            </w:tcBorders>
            <w:shd w:val="clear" w:color="000000" w:fill="002C7C"/>
            <w:noWrap/>
            <w:vAlign w:val="bottom"/>
            <w:hideMark/>
          </w:tcPr>
          <w:p w14:paraId="095EAC5B"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2027</w:t>
            </w:r>
          </w:p>
        </w:tc>
        <w:tc>
          <w:tcPr>
            <w:tcW w:w="502" w:type="pct"/>
            <w:tcBorders>
              <w:top w:val="nil"/>
              <w:left w:val="nil"/>
              <w:bottom w:val="single" w:sz="8" w:space="0" w:color="auto"/>
              <w:right w:val="nil"/>
            </w:tcBorders>
            <w:shd w:val="clear" w:color="000000" w:fill="002C7C"/>
            <w:noWrap/>
            <w:vAlign w:val="bottom"/>
            <w:hideMark/>
          </w:tcPr>
          <w:p w14:paraId="1006E618"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2028</w:t>
            </w:r>
          </w:p>
        </w:tc>
        <w:tc>
          <w:tcPr>
            <w:tcW w:w="502" w:type="pct"/>
            <w:tcBorders>
              <w:top w:val="nil"/>
              <w:left w:val="nil"/>
              <w:bottom w:val="single" w:sz="8" w:space="0" w:color="auto"/>
              <w:right w:val="nil"/>
            </w:tcBorders>
            <w:shd w:val="clear" w:color="000000" w:fill="002C7C"/>
            <w:noWrap/>
            <w:vAlign w:val="bottom"/>
            <w:hideMark/>
          </w:tcPr>
          <w:p w14:paraId="73B5E1AF"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2029</w:t>
            </w:r>
          </w:p>
        </w:tc>
      </w:tr>
      <w:tr w:rsidR="00D64E87" w:rsidRPr="00627DA0" w14:paraId="3CD2AF6D" w14:textId="77777777" w:rsidTr="002B151F">
        <w:trPr>
          <w:trHeight w:val="300"/>
        </w:trPr>
        <w:tc>
          <w:tcPr>
            <w:tcW w:w="904" w:type="pct"/>
            <w:tcBorders>
              <w:top w:val="nil"/>
              <w:left w:val="nil"/>
              <w:bottom w:val="nil"/>
              <w:right w:val="nil"/>
            </w:tcBorders>
            <w:noWrap/>
            <w:vAlign w:val="bottom"/>
            <w:hideMark/>
          </w:tcPr>
          <w:p w14:paraId="4A832559"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Appliances</w:t>
            </w:r>
          </w:p>
        </w:tc>
        <w:tc>
          <w:tcPr>
            <w:tcW w:w="1129" w:type="pct"/>
            <w:tcBorders>
              <w:top w:val="nil"/>
              <w:left w:val="nil"/>
              <w:bottom w:val="nil"/>
              <w:right w:val="nil"/>
            </w:tcBorders>
            <w:shd w:val="clear" w:color="000000" w:fill="FFFDF4"/>
            <w:noWrap/>
            <w:vAlign w:val="bottom"/>
            <w:hideMark/>
          </w:tcPr>
          <w:p w14:paraId="243CA29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262</w:t>
            </w:r>
          </w:p>
        </w:tc>
        <w:tc>
          <w:tcPr>
            <w:tcW w:w="492" w:type="pct"/>
            <w:tcBorders>
              <w:top w:val="nil"/>
              <w:left w:val="nil"/>
              <w:bottom w:val="nil"/>
              <w:right w:val="nil"/>
            </w:tcBorders>
            <w:shd w:val="clear" w:color="000000" w:fill="FEFDF3"/>
            <w:noWrap/>
            <w:vAlign w:val="bottom"/>
            <w:hideMark/>
          </w:tcPr>
          <w:p w14:paraId="4536843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307</w:t>
            </w:r>
          </w:p>
        </w:tc>
        <w:tc>
          <w:tcPr>
            <w:tcW w:w="496" w:type="pct"/>
            <w:tcBorders>
              <w:top w:val="nil"/>
              <w:left w:val="nil"/>
              <w:bottom w:val="nil"/>
              <w:right w:val="nil"/>
            </w:tcBorders>
            <w:shd w:val="clear" w:color="000000" w:fill="FEFDF3"/>
            <w:noWrap/>
            <w:vAlign w:val="bottom"/>
            <w:hideMark/>
          </w:tcPr>
          <w:p w14:paraId="577A705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303</w:t>
            </w:r>
          </w:p>
        </w:tc>
        <w:tc>
          <w:tcPr>
            <w:tcW w:w="474" w:type="pct"/>
            <w:tcBorders>
              <w:top w:val="nil"/>
              <w:left w:val="single" w:sz="4" w:space="0" w:color="auto"/>
              <w:bottom w:val="nil"/>
              <w:right w:val="nil"/>
            </w:tcBorders>
            <w:shd w:val="clear" w:color="000000" w:fill="FFFEF7"/>
            <w:noWrap/>
            <w:vAlign w:val="bottom"/>
            <w:hideMark/>
          </w:tcPr>
          <w:p w14:paraId="0F34B55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212</w:t>
            </w:r>
          </w:p>
        </w:tc>
        <w:tc>
          <w:tcPr>
            <w:tcW w:w="502" w:type="pct"/>
            <w:tcBorders>
              <w:top w:val="nil"/>
              <w:left w:val="nil"/>
              <w:bottom w:val="nil"/>
              <w:right w:val="nil"/>
            </w:tcBorders>
            <w:shd w:val="clear" w:color="000000" w:fill="FEFDF2"/>
            <w:noWrap/>
            <w:vAlign w:val="bottom"/>
            <w:hideMark/>
          </w:tcPr>
          <w:p w14:paraId="741C93A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312</w:t>
            </w:r>
          </w:p>
        </w:tc>
        <w:tc>
          <w:tcPr>
            <w:tcW w:w="502" w:type="pct"/>
            <w:tcBorders>
              <w:top w:val="nil"/>
              <w:left w:val="nil"/>
              <w:bottom w:val="nil"/>
              <w:right w:val="nil"/>
            </w:tcBorders>
            <w:shd w:val="clear" w:color="000000" w:fill="FEFCEE"/>
            <w:noWrap/>
            <w:vAlign w:val="bottom"/>
            <w:hideMark/>
          </w:tcPr>
          <w:p w14:paraId="075871F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423</w:t>
            </w:r>
          </w:p>
        </w:tc>
        <w:tc>
          <w:tcPr>
            <w:tcW w:w="502" w:type="pct"/>
            <w:tcBorders>
              <w:top w:val="nil"/>
              <w:left w:val="nil"/>
              <w:bottom w:val="nil"/>
              <w:right w:val="nil"/>
            </w:tcBorders>
            <w:shd w:val="clear" w:color="000000" w:fill="FEFBE8"/>
            <w:noWrap/>
            <w:vAlign w:val="bottom"/>
            <w:hideMark/>
          </w:tcPr>
          <w:p w14:paraId="6718C88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551</w:t>
            </w:r>
          </w:p>
        </w:tc>
      </w:tr>
      <w:tr w:rsidR="00D64E87" w:rsidRPr="00627DA0" w14:paraId="624DBE3D" w14:textId="77777777" w:rsidTr="002B151F">
        <w:trPr>
          <w:trHeight w:val="300"/>
        </w:trPr>
        <w:tc>
          <w:tcPr>
            <w:tcW w:w="904" w:type="pct"/>
            <w:tcBorders>
              <w:top w:val="nil"/>
              <w:left w:val="nil"/>
              <w:bottom w:val="nil"/>
              <w:right w:val="nil"/>
            </w:tcBorders>
            <w:noWrap/>
            <w:vAlign w:val="bottom"/>
            <w:hideMark/>
          </w:tcPr>
          <w:p w14:paraId="79A0B924"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Cooking</w:t>
            </w:r>
          </w:p>
        </w:tc>
        <w:tc>
          <w:tcPr>
            <w:tcW w:w="1129" w:type="pct"/>
            <w:tcBorders>
              <w:top w:val="nil"/>
              <w:left w:val="nil"/>
              <w:bottom w:val="nil"/>
              <w:right w:val="nil"/>
            </w:tcBorders>
            <w:shd w:val="clear" w:color="000000" w:fill="FFFFFF"/>
            <w:noWrap/>
            <w:vAlign w:val="bottom"/>
            <w:hideMark/>
          </w:tcPr>
          <w:p w14:paraId="25EBA46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2" w:type="pct"/>
            <w:tcBorders>
              <w:top w:val="nil"/>
              <w:left w:val="nil"/>
              <w:bottom w:val="nil"/>
              <w:right w:val="nil"/>
            </w:tcBorders>
            <w:shd w:val="clear" w:color="000000" w:fill="FFFFFF"/>
            <w:noWrap/>
            <w:vAlign w:val="bottom"/>
            <w:hideMark/>
          </w:tcPr>
          <w:p w14:paraId="5C0E9C8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6" w:type="pct"/>
            <w:tcBorders>
              <w:top w:val="nil"/>
              <w:left w:val="nil"/>
              <w:bottom w:val="nil"/>
              <w:right w:val="nil"/>
            </w:tcBorders>
            <w:shd w:val="clear" w:color="000000" w:fill="FFFFFF"/>
            <w:noWrap/>
            <w:vAlign w:val="bottom"/>
            <w:hideMark/>
          </w:tcPr>
          <w:p w14:paraId="37976E6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74" w:type="pct"/>
            <w:tcBorders>
              <w:top w:val="nil"/>
              <w:left w:val="single" w:sz="4" w:space="0" w:color="auto"/>
              <w:bottom w:val="nil"/>
              <w:right w:val="nil"/>
            </w:tcBorders>
            <w:shd w:val="clear" w:color="000000" w:fill="FFFFFF"/>
            <w:noWrap/>
            <w:vAlign w:val="bottom"/>
            <w:hideMark/>
          </w:tcPr>
          <w:p w14:paraId="47729E2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02" w:type="pct"/>
            <w:tcBorders>
              <w:top w:val="nil"/>
              <w:left w:val="nil"/>
              <w:bottom w:val="nil"/>
              <w:right w:val="nil"/>
            </w:tcBorders>
            <w:shd w:val="clear" w:color="000000" w:fill="FFFFFF"/>
            <w:noWrap/>
            <w:vAlign w:val="bottom"/>
            <w:hideMark/>
          </w:tcPr>
          <w:p w14:paraId="132A6EB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w:t>
            </w:r>
          </w:p>
        </w:tc>
        <w:tc>
          <w:tcPr>
            <w:tcW w:w="502" w:type="pct"/>
            <w:tcBorders>
              <w:top w:val="nil"/>
              <w:left w:val="nil"/>
              <w:bottom w:val="nil"/>
              <w:right w:val="nil"/>
            </w:tcBorders>
            <w:shd w:val="clear" w:color="000000" w:fill="FFFFFF"/>
            <w:noWrap/>
            <w:vAlign w:val="bottom"/>
            <w:hideMark/>
          </w:tcPr>
          <w:p w14:paraId="5DE5A0C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w:t>
            </w:r>
          </w:p>
        </w:tc>
        <w:tc>
          <w:tcPr>
            <w:tcW w:w="502" w:type="pct"/>
            <w:tcBorders>
              <w:top w:val="nil"/>
              <w:left w:val="nil"/>
              <w:bottom w:val="nil"/>
              <w:right w:val="nil"/>
            </w:tcBorders>
            <w:shd w:val="clear" w:color="000000" w:fill="FFFFFF"/>
            <w:noWrap/>
            <w:vAlign w:val="bottom"/>
            <w:hideMark/>
          </w:tcPr>
          <w:p w14:paraId="4D5573F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w:t>
            </w:r>
          </w:p>
        </w:tc>
      </w:tr>
      <w:tr w:rsidR="00D64E87" w:rsidRPr="00627DA0" w14:paraId="4CB4128D" w14:textId="77777777" w:rsidTr="002B151F">
        <w:trPr>
          <w:trHeight w:val="300"/>
        </w:trPr>
        <w:tc>
          <w:tcPr>
            <w:tcW w:w="904" w:type="pct"/>
            <w:tcBorders>
              <w:top w:val="nil"/>
              <w:left w:val="nil"/>
              <w:bottom w:val="nil"/>
              <w:right w:val="nil"/>
            </w:tcBorders>
            <w:noWrap/>
            <w:vAlign w:val="bottom"/>
            <w:hideMark/>
          </w:tcPr>
          <w:p w14:paraId="5B881442"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Electronics</w:t>
            </w:r>
          </w:p>
        </w:tc>
        <w:tc>
          <w:tcPr>
            <w:tcW w:w="1129" w:type="pct"/>
            <w:tcBorders>
              <w:top w:val="nil"/>
              <w:left w:val="nil"/>
              <w:bottom w:val="nil"/>
              <w:right w:val="nil"/>
            </w:tcBorders>
            <w:shd w:val="clear" w:color="000000" w:fill="FFFFFB"/>
            <w:noWrap/>
            <w:vAlign w:val="bottom"/>
            <w:hideMark/>
          </w:tcPr>
          <w:p w14:paraId="0E7E099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97</w:t>
            </w:r>
          </w:p>
        </w:tc>
        <w:tc>
          <w:tcPr>
            <w:tcW w:w="492" w:type="pct"/>
            <w:tcBorders>
              <w:top w:val="nil"/>
              <w:left w:val="nil"/>
              <w:bottom w:val="nil"/>
              <w:right w:val="nil"/>
            </w:tcBorders>
            <w:shd w:val="clear" w:color="000000" w:fill="FFFFFF"/>
            <w:noWrap/>
            <w:vAlign w:val="bottom"/>
            <w:hideMark/>
          </w:tcPr>
          <w:p w14:paraId="1443732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13</w:t>
            </w:r>
          </w:p>
        </w:tc>
        <w:tc>
          <w:tcPr>
            <w:tcW w:w="496" w:type="pct"/>
            <w:tcBorders>
              <w:top w:val="nil"/>
              <w:left w:val="nil"/>
              <w:bottom w:val="nil"/>
              <w:right w:val="nil"/>
            </w:tcBorders>
            <w:shd w:val="clear" w:color="000000" w:fill="FFFFFF"/>
            <w:noWrap/>
            <w:vAlign w:val="bottom"/>
            <w:hideMark/>
          </w:tcPr>
          <w:p w14:paraId="7AA54B9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12</w:t>
            </w:r>
          </w:p>
        </w:tc>
        <w:tc>
          <w:tcPr>
            <w:tcW w:w="474" w:type="pct"/>
            <w:tcBorders>
              <w:top w:val="nil"/>
              <w:left w:val="single" w:sz="4" w:space="0" w:color="auto"/>
              <w:bottom w:val="nil"/>
              <w:right w:val="nil"/>
            </w:tcBorders>
            <w:shd w:val="clear" w:color="000000" w:fill="FFFFFF"/>
            <w:noWrap/>
            <w:vAlign w:val="bottom"/>
            <w:hideMark/>
          </w:tcPr>
          <w:p w14:paraId="325221C5"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8</w:t>
            </w:r>
          </w:p>
        </w:tc>
        <w:tc>
          <w:tcPr>
            <w:tcW w:w="502" w:type="pct"/>
            <w:tcBorders>
              <w:top w:val="nil"/>
              <w:left w:val="nil"/>
              <w:bottom w:val="nil"/>
              <w:right w:val="nil"/>
            </w:tcBorders>
            <w:shd w:val="clear" w:color="000000" w:fill="FFFFFF"/>
            <w:noWrap/>
            <w:vAlign w:val="bottom"/>
            <w:hideMark/>
          </w:tcPr>
          <w:p w14:paraId="13E65FB5"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16</w:t>
            </w:r>
          </w:p>
        </w:tc>
        <w:tc>
          <w:tcPr>
            <w:tcW w:w="502" w:type="pct"/>
            <w:tcBorders>
              <w:top w:val="nil"/>
              <w:left w:val="nil"/>
              <w:bottom w:val="nil"/>
              <w:right w:val="nil"/>
            </w:tcBorders>
            <w:shd w:val="clear" w:color="000000" w:fill="FFFFFE"/>
            <w:noWrap/>
            <w:vAlign w:val="bottom"/>
            <w:hideMark/>
          </w:tcPr>
          <w:p w14:paraId="07F24DC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27</w:t>
            </w:r>
          </w:p>
        </w:tc>
        <w:tc>
          <w:tcPr>
            <w:tcW w:w="502" w:type="pct"/>
            <w:tcBorders>
              <w:top w:val="nil"/>
              <w:left w:val="nil"/>
              <w:bottom w:val="nil"/>
              <w:right w:val="nil"/>
            </w:tcBorders>
            <w:shd w:val="clear" w:color="000000" w:fill="FFFFFE"/>
            <w:noWrap/>
            <w:vAlign w:val="bottom"/>
            <w:hideMark/>
          </w:tcPr>
          <w:p w14:paraId="759E15B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43</w:t>
            </w:r>
          </w:p>
        </w:tc>
      </w:tr>
      <w:tr w:rsidR="00D64E87" w:rsidRPr="00627DA0" w14:paraId="75BCD606" w14:textId="77777777" w:rsidTr="002B151F">
        <w:trPr>
          <w:trHeight w:val="300"/>
        </w:trPr>
        <w:tc>
          <w:tcPr>
            <w:tcW w:w="904" w:type="pct"/>
            <w:tcBorders>
              <w:top w:val="nil"/>
              <w:left w:val="nil"/>
              <w:bottom w:val="nil"/>
              <w:right w:val="nil"/>
            </w:tcBorders>
            <w:noWrap/>
            <w:vAlign w:val="bottom"/>
            <w:hideMark/>
          </w:tcPr>
          <w:p w14:paraId="33389BD7"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EVSE</w:t>
            </w:r>
          </w:p>
        </w:tc>
        <w:tc>
          <w:tcPr>
            <w:tcW w:w="1129" w:type="pct"/>
            <w:tcBorders>
              <w:top w:val="nil"/>
              <w:left w:val="nil"/>
              <w:bottom w:val="nil"/>
              <w:right w:val="nil"/>
            </w:tcBorders>
            <w:shd w:val="clear" w:color="000000" w:fill="FFFFFF"/>
            <w:noWrap/>
            <w:vAlign w:val="bottom"/>
            <w:hideMark/>
          </w:tcPr>
          <w:p w14:paraId="1DBF612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2" w:type="pct"/>
            <w:tcBorders>
              <w:top w:val="nil"/>
              <w:left w:val="nil"/>
              <w:bottom w:val="nil"/>
              <w:right w:val="nil"/>
            </w:tcBorders>
            <w:shd w:val="clear" w:color="000000" w:fill="FFFFFF"/>
            <w:noWrap/>
            <w:vAlign w:val="bottom"/>
            <w:hideMark/>
          </w:tcPr>
          <w:p w14:paraId="51FF953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6" w:type="pct"/>
            <w:tcBorders>
              <w:top w:val="nil"/>
              <w:left w:val="nil"/>
              <w:bottom w:val="nil"/>
              <w:right w:val="nil"/>
            </w:tcBorders>
            <w:shd w:val="clear" w:color="000000" w:fill="FFFFFF"/>
            <w:noWrap/>
            <w:vAlign w:val="bottom"/>
            <w:hideMark/>
          </w:tcPr>
          <w:p w14:paraId="550B928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74" w:type="pct"/>
            <w:tcBorders>
              <w:top w:val="nil"/>
              <w:left w:val="single" w:sz="4" w:space="0" w:color="auto"/>
              <w:bottom w:val="nil"/>
              <w:right w:val="nil"/>
            </w:tcBorders>
            <w:shd w:val="clear" w:color="000000" w:fill="FFFFFF"/>
            <w:noWrap/>
            <w:vAlign w:val="bottom"/>
            <w:hideMark/>
          </w:tcPr>
          <w:p w14:paraId="380220F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44B6586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226935C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3940605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5E0F4CFA" w14:textId="77777777" w:rsidTr="002B151F">
        <w:trPr>
          <w:trHeight w:val="300"/>
        </w:trPr>
        <w:tc>
          <w:tcPr>
            <w:tcW w:w="904" w:type="pct"/>
            <w:tcBorders>
              <w:top w:val="nil"/>
              <w:left w:val="nil"/>
              <w:bottom w:val="nil"/>
              <w:right w:val="nil"/>
            </w:tcBorders>
            <w:noWrap/>
            <w:vAlign w:val="bottom"/>
            <w:hideMark/>
          </w:tcPr>
          <w:p w14:paraId="686B9E03"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HVAC</w:t>
            </w:r>
          </w:p>
        </w:tc>
        <w:tc>
          <w:tcPr>
            <w:tcW w:w="1129" w:type="pct"/>
            <w:tcBorders>
              <w:top w:val="nil"/>
              <w:left w:val="nil"/>
              <w:bottom w:val="nil"/>
              <w:right w:val="nil"/>
            </w:tcBorders>
            <w:shd w:val="clear" w:color="000000" w:fill="F4E477"/>
            <w:noWrap/>
            <w:vAlign w:val="bottom"/>
            <w:hideMark/>
          </w:tcPr>
          <w:p w14:paraId="0399C06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3,228</w:t>
            </w:r>
          </w:p>
        </w:tc>
        <w:tc>
          <w:tcPr>
            <w:tcW w:w="492" w:type="pct"/>
            <w:tcBorders>
              <w:top w:val="nil"/>
              <w:left w:val="nil"/>
              <w:bottom w:val="nil"/>
              <w:right w:val="nil"/>
            </w:tcBorders>
            <w:shd w:val="clear" w:color="000000" w:fill="FDFAE3"/>
            <w:noWrap/>
            <w:vAlign w:val="bottom"/>
            <w:hideMark/>
          </w:tcPr>
          <w:p w14:paraId="3C778ED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682</w:t>
            </w:r>
          </w:p>
        </w:tc>
        <w:tc>
          <w:tcPr>
            <w:tcW w:w="496" w:type="pct"/>
            <w:tcBorders>
              <w:top w:val="nil"/>
              <w:left w:val="nil"/>
              <w:bottom w:val="nil"/>
              <w:right w:val="nil"/>
            </w:tcBorders>
            <w:shd w:val="clear" w:color="000000" w:fill="FEFBE8"/>
            <w:noWrap/>
            <w:vAlign w:val="bottom"/>
            <w:hideMark/>
          </w:tcPr>
          <w:p w14:paraId="51B0340F"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560</w:t>
            </w:r>
          </w:p>
        </w:tc>
        <w:tc>
          <w:tcPr>
            <w:tcW w:w="474" w:type="pct"/>
            <w:tcBorders>
              <w:top w:val="nil"/>
              <w:left w:val="single" w:sz="4" w:space="0" w:color="auto"/>
              <w:bottom w:val="nil"/>
              <w:right w:val="nil"/>
            </w:tcBorders>
            <w:shd w:val="clear" w:color="000000" w:fill="FEFDF2"/>
            <w:noWrap/>
            <w:vAlign w:val="bottom"/>
            <w:hideMark/>
          </w:tcPr>
          <w:p w14:paraId="6FCA0EB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313</w:t>
            </w:r>
          </w:p>
        </w:tc>
        <w:tc>
          <w:tcPr>
            <w:tcW w:w="502" w:type="pct"/>
            <w:tcBorders>
              <w:top w:val="nil"/>
              <w:left w:val="nil"/>
              <w:bottom w:val="nil"/>
              <w:right w:val="nil"/>
            </w:tcBorders>
            <w:shd w:val="clear" w:color="000000" w:fill="FEFBEA"/>
            <w:noWrap/>
            <w:vAlign w:val="bottom"/>
            <w:hideMark/>
          </w:tcPr>
          <w:p w14:paraId="35A4936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504</w:t>
            </w:r>
          </w:p>
        </w:tc>
        <w:tc>
          <w:tcPr>
            <w:tcW w:w="502" w:type="pct"/>
            <w:tcBorders>
              <w:top w:val="nil"/>
              <w:left w:val="nil"/>
              <w:bottom w:val="nil"/>
              <w:right w:val="nil"/>
            </w:tcBorders>
            <w:shd w:val="clear" w:color="000000" w:fill="FDF9E0"/>
            <w:noWrap/>
            <w:vAlign w:val="bottom"/>
            <w:hideMark/>
          </w:tcPr>
          <w:p w14:paraId="05B86E9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750</w:t>
            </w:r>
          </w:p>
        </w:tc>
        <w:tc>
          <w:tcPr>
            <w:tcW w:w="502" w:type="pct"/>
            <w:tcBorders>
              <w:top w:val="nil"/>
              <w:left w:val="nil"/>
              <w:bottom w:val="nil"/>
              <w:right w:val="nil"/>
            </w:tcBorders>
            <w:shd w:val="clear" w:color="000000" w:fill="FCF7D3"/>
            <w:noWrap/>
            <w:vAlign w:val="bottom"/>
            <w:hideMark/>
          </w:tcPr>
          <w:p w14:paraId="0F76DD2A"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1,054</w:t>
            </w:r>
          </w:p>
        </w:tc>
      </w:tr>
      <w:tr w:rsidR="00D64E87" w:rsidRPr="00627DA0" w14:paraId="40FAD320" w14:textId="77777777" w:rsidTr="002B151F">
        <w:trPr>
          <w:trHeight w:val="300"/>
        </w:trPr>
        <w:tc>
          <w:tcPr>
            <w:tcW w:w="904" w:type="pct"/>
            <w:tcBorders>
              <w:top w:val="nil"/>
              <w:left w:val="nil"/>
              <w:bottom w:val="nil"/>
              <w:right w:val="nil"/>
            </w:tcBorders>
            <w:noWrap/>
            <w:vAlign w:val="bottom"/>
            <w:hideMark/>
          </w:tcPr>
          <w:p w14:paraId="0C08FFEB"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Lighting</w:t>
            </w:r>
          </w:p>
        </w:tc>
        <w:tc>
          <w:tcPr>
            <w:tcW w:w="1129" w:type="pct"/>
            <w:tcBorders>
              <w:top w:val="nil"/>
              <w:left w:val="nil"/>
              <w:bottom w:val="nil"/>
              <w:right w:val="nil"/>
            </w:tcBorders>
            <w:shd w:val="clear" w:color="000000" w:fill="FFFFFF"/>
            <w:noWrap/>
            <w:vAlign w:val="bottom"/>
            <w:hideMark/>
          </w:tcPr>
          <w:p w14:paraId="504E9FD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2" w:type="pct"/>
            <w:tcBorders>
              <w:top w:val="nil"/>
              <w:left w:val="nil"/>
              <w:bottom w:val="nil"/>
              <w:right w:val="nil"/>
            </w:tcBorders>
            <w:shd w:val="clear" w:color="000000" w:fill="FFFFFF"/>
            <w:noWrap/>
            <w:vAlign w:val="bottom"/>
            <w:hideMark/>
          </w:tcPr>
          <w:p w14:paraId="7356707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6" w:type="pct"/>
            <w:tcBorders>
              <w:top w:val="nil"/>
              <w:left w:val="nil"/>
              <w:bottom w:val="nil"/>
              <w:right w:val="nil"/>
            </w:tcBorders>
            <w:shd w:val="clear" w:color="000000" w:fill="FFFFFF"/>
            <w:noWrap/>
            <w:vAlign w:val="bottom"/>
            <w:hideMark/>
          </w:tcPr>
          <w:p w14:paraId="5625670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74" w:type="pct"/>
            <w:tcBorders>
              <w:top w:val="nil"/>
              <w:left w:val="single" w:sz="4" w:space="0" w:color="auto"/>
              <w:bottom w:val="nil"/>
              <w:right w:val="nil"/>
            </w:tcBorders>
            <w:shd w:val="clear" w:color="000000" w:fill="FFFFFE"/>
            <w:noWrap/>
            <w:vAlign w:val="bottom"/>
            <w:hideMark/>
          </w:tcPr>
          <w:p w14:paraId="73EDB99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40</w:t>
            </w:r>
          </w:p>
        </w:tc>
        <w:tc>
          <w:tcPr>
            <w:tcW w:w="502" w:type="pct"/>
            <w:tcBorders>
              <w:top w:val="nil"/>
              <w:left w:val="nil"/>
              <w:bottom w:val="nil"/>
              <w:right w:val="nil"/>
            </w:tcBorders>
            <w:shd w:val="clear" w:color="000000" w:fill="FFFFFD"/>
            <w:noWrap/>
            <w:vAlign w:val="bottom"/>
            <w:hideMark/>
          </w:tcPr>
          <w:p w14:paraId="01F5344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54</w:t>
            </w:r>
          </w:p>
        </w:tc>
        <w:tc>
          <w:tcPr>
            <w:tcW w:w="502" w:type="pct"/>
            <w:tcBorders>
              <w:top w:val="nil"/>
              <w:left w:val="nil"/>
              <w:bottom w:val="nil"/>
              <w:right w:val="nil"/>
            </w:tcBorders>
            <w:shd w:val="clear" w:color="000000" w:fill="FFFFFD"/>
            <w:noWrap/>
            <w:vAlign w:val="bottom"/>
            <w:hideMark/>
          </w:tcPr>
          <w:p w14:paraId="36E3C65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70</w:t>
            </w:r>
          </w:p>
        </w:tc>
        <w:tc>
          <w:tcPr>
            <w:tcW w:w="502" w:type="pct"/>
            <w:tcBorders>
              <w:top w:val="nil"/>
              <w:left w:val="nil"/>
              <w:bottom w:val="nil"/>
              <w:right w:val="nil"/>
            </w:tcBorders>
            <w:shd w:val="clear" w:color="000000" w:fill="FFFFFC"/>
            <w:noWrap/>
            <w:vAlign w:val="bottom"/>
            <w:hideMark/>
          </w:tcPr>
          <w:p w14:paraId="5B3CA7B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90</w:t>
            </w:r>
          </w:p>
        </w:tc>
      </w:tr>
      <w:tr w:rsidR="00D64E87" w:rsidRPr="00627DA0" w14:paraId="091B7670" w14:textId="77777777" w:rsidTr="002B151F">
        <w:trPr>
          <w:trHeight w:val="300"/>
        </w:trPr>
        <w:tc>
          <w:tcPr>
            <w:tcW w:w="904" w:type="pct"/>
            <w:tcBorders>
              <w:top w:val="nil"/>
              <w:left w:val="nil"/>
              <w:bottom w:val="nil"/>
              <w:right w:val="nil"/>
            </w:tcBorders>
            <w:noWrap/>
            <w:vAlign w:val="bottom"/>
            <w:hideMark/>
          </w:tcPr>
          <w:p w14:paraId="71823C94"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Motors</w:t>
            </w:r>
          </w:p>
        </w:tc>
        <w:tc>
          <w:tcPr>
            <w:tcW w:w="1129" w:type="pct"/>
            <w:tcBorders>
              <w:top w:val="nil"/>
              <w:left w:val="nil"/>
              <w:bottom w:val="nil"/>
              <w:right w:val="nil"/>
            </w:tcBorders>
            <w:shd w:val="clear" w:color="000000" w:fill="FFFFFF"/>
            <w:noWrap/>
            <w:vAlign w:val="bottom"/>
            <w:hideMark/>
          </w:tcPr>
          <w:p w14:paraId="2C5ADE5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2" w:type="pct"/>
            <w:tcBorders>
              <w:top w:val="nil"/>
              <w:left w:val="nil"/>
              <w:bottom w:val="nil"/>
              <w:right w:val="nil"/>
            </w:tcBorders>
            <w:shd w:val="clear" w:color="000000" w:fill="FFFFFF"/>
            <w:noWrap/>
            <w:vAlign w:val="bottom"/>
            <w:hideMark/>
          </w:tcPr>
          <w:p w14:paraId="350FC0A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6" w:type="pct"/>
            <w:tcBorders>
              <w:top w:val="nil"/>
              <w:left w:val="nil"/>
              <w:bottom w:val="nil"/>
              <w:right w:val="nil"/>
            </w:tcBorders>
            <w:shd w:val="clear" w:color="000000" w:fill="FFFFFF"/>
            <w:noWrap/>
            <w:vAlign w:val="bottom"/>
            <w:hideMark/>
          </w:tcPr>
          <w:p w14:paraId="385E06A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74" w:type="pct"/>
            <w:tcBorders>
              <w:top w:val="nil"/>
              <w:left w:val="single" w:sz="4" w:space="0" w:color="auto"/>
              <w:bottom w:val="nil"/>
              <w:right w:val="nil"/>
            </w:tcBorders>
            <w:shd w:val="clear" w:color="000000" w:fill="FFFFFF"/>
            <w:noWrap/>
            <w:vAlign w:val="bottom"/>
            <w:hideMark/>
          </w:tcPr>
          <w:p w14:paraId="0A33166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64EF5B6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4D92BDD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118A7E4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7743B521" w14:textId="77777777" w:rsidTr="002B151F">
        <w:trPr>
          <w:trHeight w:val="300"/>
        </w:trPr>
        <w:tc>
          <w:tcPr>
            <w:tcW w:w="904" w:type="pct"/>
            <w:tcBorders>
              <w:top w:val="nil"/>
              <w:left w:val="nil"/>
              <w:bottom w:val="nil"/>
              <w:right w:val="nil"/>
            </w:tcBorders>
            <w:noWrap/>
            <w:vAlign w:val="bottom"/>
            <w:hideMark/>
          </w:tcPr>
          <w:p w14:paraId="7D9B57D6"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Water Heat</w:t>
            </w:r>
          </w:p>
        </w:tc>
        <w:tc>
          <w:tcPr>
            <w:tcW w:w="1129" w:type="pct"/>
            <w:tcBorders>
              <w:top w:val="nil"/>
              <w:left w:val="nil"/>
              <w:bottom w:val="nil"/>
              <w:right w:val="nil"/>
            </w:tcBorders>
            <w:shd w:val="clear" w:color="000000" w:fill="FFFEF9"/>
            <w:noWrap/>
            <w:vAlign w:val="bottom"/>
            <w:hideMark/>
          </w:tcPr>
          <w:p w14:paraId="4B85B2F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161</w:t>
            </w:r>
          </w:p>
        </w:tc>
        <w:tc>
          <w:tcPr>
            <w:tcW w:w="492" w:type="pct"/>
            <w:tcBorders>
              <w:top w:val="nil"/>
              <w:left w:val="nil"/>
              <w:bottom w:val="nil"/>
              <w:right w:val="nil"/>
            </w:tcBorders>
            <w:shd w:val="clear" w:color="000000" w:fill="FFFEFA"/>
            <w:noWrap/>
            <w:vAlign w:val="bottom"/>
            <w:hideMark/>
          </w:tcPr>
          <w:p w14:paraId="632E875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141</w:t>
            </w:r>
          </w:p>
        </w:tc>
        <w:tc>
          <w:tcPr>
            <w:tcW w:w="496" w:type="pct"/>
            <w:tcBorders>
              <w:top w:val="nil"/>
              <w:left w:val="nil"/>
              <w:bottom w:val="nil"/>
              <w:right w:val="nil"/>
            </w:tcBorders>
            <w:shd w:val="clear" w:color="000000" w:fill="FFFEF9"/>
            <w:noWrap/>
            <w:vAlign w:val="bottom"/>
            <w:hideMark/>
          </w:tcPr>
          <w:p w14:paraId="0B09F80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151</w:t>
            </w:r>
          </w:p>
        </w:tc>
        <w:tc>
          <w:tcPr>
            <w:tcW w:w="474" w:type="pct"/>
            <w:tcBorders>
              <w:top w:val="nil"/>
              <w:left w:val="single" w:sz="4" w:space="0" w:color="auto"/>
              <w:bottom w:val="nil"/>
              <w:right w:val="nil"/>
            </w:tcBorders>
            <w:shd w:val="clear" w:color="000000" w:fill="FFFFFB"/>
            <w:noWrap/>
            <w:vAlign w:val="bottom"/>
            <w:hideMark/>
          </w:tcPr>
          <w:p w14:paraId="187C267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113</w:t>
            </w:r>
          </w:p>
        </w:tc>
        <w:tc>
          <w:tcPr>
            <w:tcW w:w="502" w:type="pct"/>
            <w:tcBorders>
              <w:top w:val="nil"/>
              <w:left w:val="nil"/>
              <w:bottom w:val="nil"/>
              <w:right w:val="nil"/>
            </w:tcBorders>
            <w:shd w:val="clear" w:color="000000" w:fill="FFFEF7"/>
            <w:noWrap/>
            <w:vAlign w:val="bottom"/>
            <w:hideMark/>
          </w:tcPr>
          <w:p w14:paraId="6DDB7BF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206</w:t>
            </w:r>
          </w:p>
        </w:tc>
        <w:tc>
          <w:tcPr>
            <w:tcW w:w="502" w:type="pct"/>
            <w:tcBorders>
              <w:top w:val="nil"/>
              <w:left w:val="nil"/>
              <w:bottom w:val="nil"/>
              <w:right w:val="nil"/>
            </w:tcBorders>
            <w:shd w:val="clear" w:color="000000" w:fill="FEFDF2"/>
            <w:noWrap/>
            <w:vAlign w:val="bottom"/>
            <w:hideMark/>
          </w:tcPr>
          <w:p w14:paraId="183088E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320</w:t>
            </w:r>
          </w:p>
        </w:tc>
        <w:tc>
          <w:tcPr>
            <w:tcW w:w="502" w:type="pct"/>
            <w:tcBorders>
              <w:top w:val="nil"/>
              <w:left w:val="nil"/>
              <w:bottom w:val="nil"/>
              <w:right w:val="nil"/>
            </w:tcBorders>
            <w:shd w:val="clear" w:color="000000" w:fill="FEFCEC"/>
            <w:noWrap/>
            <w:vAlign w:val="bottom"/>
            <w:hideMark/>
          </w:tcPr>
          <w:p w14:paraId="1901DB3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471</w:t>
            </w:r>
          </w:p>
        </w:tc>
      </w:tr>
      <w:tr w:rsidR="00D64E87" w:rsidRPr="00627DA0" w14:paraId="26DB7519" w14:textId="77777777" w:rsidTr="002B151F">
        <w:trPr>
          <w:trHeight w:val="300"/>
        </w:trPr>
        <w:tc>
          <w:tcPr>
            <w:tcW w:w="904" w:type="pct"/>
            <w:tcBorders>
              <w:top w:val="nil"/>
              <w:left w:val="nil"/>
              <w:bottom w:val="nil"/>
              <w:right w:val="nil"/>
            </w:tcBorders>
            <w:noWrap/>
            <w:vAlign w:val="bottom"/>
            <w:hideMark/>
          </w:tcPr>
          <w:p w14:paraId="7B889F42"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Whole Home</w:t>
            </w:r>
          </w:p>
        </w:tc>
        <w:tc>
          <w:tcPr>
            <w:tcW w:w="1129" w:type="pct"/>
            <w:tcBorders>
              <w:top w:val="nil"/>
              <w:left w:val="nil"/>
              <w:bottom w:val="nil"/>
              <w:right w:val="nil"/>
            </w:tcBorders>
            <w:shd w:val="clear" w:color="000000" w:fill="FFFFFE"/>
            <w:noWrap/>
            <w:vAlign w:val="bottom"/>
            <w:hideMark/>
          </w:tcPr>
          <w:p w14:paraId="435292F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47</w:t>
            </w:r>
          </w:p>
        </w:tc>
        <w:tc>
          <w:tcPr>
            <w:tcW w:w="492" w:type="pct"/>
            <w:tcBorders>
              <w:top w:val="nil"/>
              <w:left w:val="nil"/>
              <w:bottom w:val="nil"/>
              <w:right w:val="nil"/>
            </w:tcBorders>
            <w:shd w:val="clear" w:color="000000" w:fill="FFFFFD"/>
            <w:noWrap/>
            <w:vAlign w:val="bottom"/>
            <w:hideMark/>
          </w:tcPr>
          <w:p w14:paraId="51DC446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62</w:t>
            </w:r>
          </w:p>
        </w:tc>
        <w:tc>
          <w:tcPr>
            <w:tcW w:w="496" w:type="pct"/>
            <w:tcBorders>
              <w:top w:val="nil"/>
              <w:left w:val="nil"/>
              <w:bottom w:val="nil"/>
              <w:right w:val="nil"/>
            </w:tcBorders>
            <w:shd w:val="clear" w:color="000000" w:fill="FFFFFD"/>
            <w:noWrap/>
            <w:vAlign w:val="bottom"/>
            <w:hideMark/>
          </w:tcPr>
          <w:p w14:paraId="0A37F76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56</w:t>
            </w:r>
          </w:p>
        </w:tc>
        <w:tc>
          <w:tcPr>
            <w:tcW w:w="474" w:type="pct"/>
            <w:tcBorders>
              <w:top w:val="nil"/>
              <w:left w:val="single" w:sz="4" w:space="0" w:color="auto"/>
              <w:bottom w:val="nil"/>
              <w:right w:val="nil"/>
            </w:tcBorders>
            <w:shd w:val="clear" w:color="000000" w:fill="FFFFFF"/>
            <w:noWrap/>
            <w:vAlign w:val="bottom"/>
            <w:hideMark/>
          </w:tcPr>
          <w:p w14:paraId="201A42A5"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2A7B77D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5DB0C93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02" w:type="pct"/>
            <w:tcBorders>
              <w:top w:val="nil"/>
              <w:left w:val="nil"/>
              <w:bottom w:val="nil"/>
              <w:right w:val="nil"/>
            </w:tcBorders>
            <w:shd w:val="clear" w:color="000000" w:fill="FFFFFF"/>
            <w:noWrap/>
            <w:vAlign w:val="bottom"/>
            <w:hideMark/>
          </w:tcPr>
          <w:p w14:paraId="622454F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57527CF9" w14:textId="77777777" w:rsidTr="002B151F">
        <w:trPr>
          <w:trHeight w:val="315"/>
        </w:trPr>
        <w:tc>
          <w:tcPr>
            <w:tcW w:w="904" w:type="pct"/>
            <w:tcBorders>
              <w:top w:val="single" w:sz="4" w:space="0" w:color="auto"/>
              <w:left w:val="nil"/>
              <w:bottom w:val="single" w:sz="8" w:space="0" w:color="auto"/>
              <w:right w:val="nil"/>
            </w:tcBorders>
            <w:noWrap/>
            <w:vAlign w:val="bottom"/>
            <w:hideMark/>
          </w:tcPr>
          <w:p w14:paraId="4C2807DD" w14:textId="77777777" w:rsidR="00D64E87" w:rsidRPr="00627DA0" w:rsidRDefault="00D64E87" w:rsidP="002B151F">
            <w:pPr>
              <w:spacing w:after="0" w:line="240" w:lineRule="auto"/>
              <w:jc w:val="left"/>
              <w:rPr>
                <w:rFonts w:eastAsia="Times New Roman" w:cs="Times New Roman"/>
                <w:b/>
                <w:bCs/>
                <w:color w:val="000000"/>
                <w:sz w:val="20"/>
                <w:szCs w:val="20"/>
              </w:rPr>
            </w:pPr>
            <w:r w:rsidRPr="00627DA0">
              <w:rPr>
                <w:rFonts w:eastAsia="Times New Roman" w:cs="Times New Roman"/>
                <w:b/>
                <w:bCs/>
                <w:color w:val="000000"/>
                <w:sz w:val="20"/>
                <w:szCs w:val="20"/>
              </w:rPr>
              <w:t>Total</w:t>
            </w:r>
          </w:p>
        </w:tc>
        <w:tc>
          <w:tcPr>
            <w:tcW w:w="1129" w:type="pct"/>
            <w:tcBorders>
              <w:top w:val="single" w:sz="4" w:space="0" w:color="auto"/>
              <w:left w:val="nil"/>
              <w:bottom w:val="single" w:sz="8" w:space="0" w:color="auto"/>
              <w:right w:val="nil"/>
            </w:tcBorders>
            <w:noWrap/>
            <w:vAlign w:val="bottom"/>
            <w:hideMark/>
          </w:tcPr>
          <w:p w14:paraId="36C28393"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3,795</w:t>
            </w:r>
          </w:p>
        </w:tc>
        <w:tc>
          <w:tcPr>
            <w:tcW w:w="492" w:type="pct"/>
            <w:tcBorders>
              <w:top w:val="single" w:sz="4" w:space="0" w:color="auto"/>
              <w:left w:val="nil"/>
              <w:bottom w:val="single" w:sz="8" w:space="0" w:color="auto"/>
              <w:right w:val="nil"/>
            </w:tcBorders>
            <w:noWrap/>
            <w:vAlign w:val="bottom"/>
            <w:hideMark/>
          </w:tcPr>
          <w:p w14:paraId="5F3E7385"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1,204</w:t>
            </w:r>
          </w:p>
        </w:tc>
        <w:tc>
          <w:tcPr>
            <w:tcW w:w="496" w:type="pct"/>
            <w:tcBorders>
              <w:top w:val="single" w:sz="4" w:space="0" w:color="auto"/>
              <w:left w:val="nil"/>
              <w:bottom w:val="single" w:sz="8" w:space="0" w:color="auto"/>
              <w:right w:val="nil"/>
            </w:tcBorders>
            <w:noWrap/>
            <w:vAlign w:val="bottom"/>
            <w:hideMark/>
          </w:tcPr>
          <w:p w14:paraId="79E29C57"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1,083</w:t>
            </w:r>
          </w:p>
        </w:tc>
        <w:tc>
          <w:tcPr>
            <w:tcW w:w="474" w:type="pct"/>
            <w:tcBorders>
              <w:top w:val="single" w:sz="4" w:space="0" w:color="auto"/>
              <w:left w:val="single" w:sz="4" w:space="0" w:color="auto"/>
              <w:bottom w:val="single" w:sz="8" w:space="0" w:color="auto"/>
              <w:right w:val="nil"/>
            </w:tcBorders>
            <w:noWrap/>
            <w:vAlign w:val="bottom"/>
            <w:hideMark/>
          </w:tcPr>
          <w:p w14:paraId="0594AC72"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686</w:t>
            </w:r>
          </w:p>
        </w:tc>
        <w:tc>
          <w:tcPr>
            <w:tcW w:w="502" w:type="pct"/>
            <w:tcBorders>
              <w:top w:val="single" w:sz="4" w:space="0" w:color="auto"/>
              <w:left w:val="nil"/>
              <w:bottom w:val="single" w:sz="8" w:space="0" w:color="auto"/>
              <w:right w:val="nil"/>
            </w:tcBorders>
            <w:noWrap/>
            <w:vAlign w:val="bottom"/>
            <w:hideMark/>
          </w:tcPr>
          <w:p w14:paraId="33A84830"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1,093</w:t>
            </w:r>
          </w:p>
        </w:tc>
        <w:tc>
          <w:tcPr>
            <w:tcW w:w="502" w:type="pct"/>
            <w:tcBorders>
              <w:top w:val="single" w:sz="4" w:space="0" w:color="auto"/>
              <w:left w:val="nil"/>
              <w:bottom w:val="single" w:sz="8" w:space="0" w:color="auto"/>
              <w:right w:val="nil"/>
            </w:tcBorders>
            <w:noWrap/>
            <w:vAlign w:val="bottom"/>
            <w:hideMark/>
          </w:tcPr>
          <w:p w14:paraId="59E62ACF"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1,592</w:t>
            </w:r>
          </w:p>
        </w:tc>
        <w:tc>
          <w:tcPr>
            <w:tcW w:w="502" w:type="pct"/>
            <w:tcBorders>
              <w:top w:val="single" w:sz="4" w:space="0" w:color="auto"/>
              <w:left w:val="nil"/>
              <w:bottom w:val="single" w:sz="8" w:space="0" w:color="auto"/>
              <w:right w:val="nil"/>
            </w:tcBorders>
            <w:noWrap/>
            <w:vAlign w:val="bottom"/>
            <w:hideMark/>
          </w:tcPr>
          <w:p w14:paraId="6E052B13"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2,213</w:t>
            </w:r>
          </w:p>
        </w:tc>
      </w:tr>
    </w:tbl>
    <w:p w14:paraId="12914D14" w14:textId="77777777" w:rsidR="00D64E87" w:rsidRPr="00627DA0" w:rsidRDefault="00D64E87" w:rsidP="00D64E87"/>
    <w:p w14:paraId="6B46ABF7" w14:textId="77777777" w:rsidR="00D64E87" w:rsidRPr="00627DA0" w:rsidRDefault="00D64E87" w:rsidP="00D64E87">
      <w:pPr>
        <w:pStyle w:val="Heading3"/>
      </w:pPr>
      <w:r w:rsidRPr="00627DA0">
        <w:t>Commercial</w:t>
      </w:r>
    </w:p>
    <w:p w14:paraId="1140094F" w14:textId="77777777" w:rsidR="00D64E87" w:rsidRPr="00627DA0" w:rsidRDefault="00D64E87" w:rsidP="00D64E87">
      <w:pPr>
        <w:rPr>
          <w:rFonts w:cs="Calibri Light"/>
        </w:rPr>
      </w:pPr>
      <w:r w:rsidRPr="00627DA0">
        <w:rPr>
          <w:rFonts w:cs="Calibri Light"/>
        </w:rPr>
        <w:t xml:space="preserve">In the commercial sector, the greatest potential lies within lighting and HVAC end uses, which are also the areas where Inland Power’s programs achievements are the greatest. NEEA also contributes additional savings in these end uses. The ramp rates associated with these end uses were aligned with these accomplishments. The end uses outside of the lighting and HVAC end uses were generally given slower ramp rates to reflect the lower program activity in these areas. </w:t>
      </w:r>
    </w:p>
    <w:p w14:paraId="60B1E8CC" w14:textId="77777777" w:rsidR="00D64E87" w:rsidRPr="00627DA0" w:rsidRDefault="00D64E87" w:rsidP="00D64E87">
      <w:pPr>
        <w:rPr>
          <w:rFonts w:cs="Calibri Light"/>
        </w:rPr>
      </w:pPr>
      <w:r w:rsidRPr="00627DA0">
        <w:rPr>
          <w:rFonts w:cs="Calibri Light"/>
        </w:rPr>
        <w:t>Note that lighting in the commercial sector is impacted by Washington House Bill 1185’s</w:t>
      </w:r>
      <w:r w:rsidRPr="00627DA0">
        <w:rPr>
          <w:rStyle w:val="FootnoteReference"/>
          <w:rFonts w:cs="Calibri Light"/>
        </w:rPr>
        <w:footnoteReference w:id="16"/>
      </w:r>
      <w:r w:rsidRPr="00627DA0">
        <w:rPr>
          <w:rFonts w:cs="Calibri Light"/>
        </w:rPr>
        <w:t xml:space="preserve"> ban on the sale of lighting products containing mercury, which includes fluorescent lighting. The ban takes effect in the second half of 2029. After this, much of the remaining lighting potential is associated with lighting controls and lighting technologies where fluorescent lighting is not the baseline technology.</w:t>
      </w:r>
    </w:p>
    <w:p w14:paraId="243CD6CB" w14:textId="042A58AD" w:rsidR="00D64E87" w:rsidRPr="00627DA0" w:rsidRDefault="00D64E87" w:rsidP="00D64E87">
      <w:pPr>
        <w:rPr>
          <w:rFonts w:cs="Calibri Light"/>
        </w:rPr>
      </w:pPr>
      <w:r w:rsidRPr="00627DA0">
        <w:rPr>
          <w:rFonts w:cs="Calibri Light"/>
        </w:rPr>
        <w:lastRenderedPageBreak/>
        <w:fldChar w:fldCharType="begin"/>
      </w:r>
      <w:r w:rsidRPr="00627DA0">
        <w:rPr>
          <w:rFonts w:cs="Calibri Light"/>
        </w:rPr>
        <w:instrText xml:space="preserve"> REF _Ref65674257 \h </w:instrText>
      </w:r>
      <w:r w:rsidRPr="00627DA0">
        <w:rPr>
          <w:rFonts w:cs="Calibri Light"/>
        </w:rPr>
      </w:r>
      <w:r w:rsidRPr="00627DA0">
        <w:rPr>
          <w:rFonts w:cs="Calibri Light"/>
        </w:rPr>
        <w:fldChar w:fldCharType="separate"/>
      </w:r>
      <w:r w:rsidR="00431297" w:rsidRPr="00627DA0">
        <w:t>Table 26</w:t>
      </w:r>
      <w:r w:rsidRPr="00627DA0">
        <w:rPr>
          <w:rFonts w:cs="Calibri Light"/>
        </w:rPr>
        <w:fldChar w:fldCharType="end"/>
      </w:r>
      <w:r w:rsidRPr="00627DA0">
        <w:rPr>
          <w:rFonts w:cs="Calibri Light"/>
        </w:rPr>
        <w:t xml:space="preserve"> below shows the alignment of program history and potential in the commercial sector.</w:t>
      </w:r>
    </w:p>
    <w:p w14:paraId="4D08E6D0" w14:textId="4ACD4906" w:rsidR="00D64E87" w:rsidRPr="00627DA0" w:rsidRDefault="00D64E87" w:rsidP="00D64E87">
      <w:pPr>
        <w:pStyle w:val="Caption"/>
      </w:pPr>
      <w:bookmarkStart w:id="185" w:name="_Ref65674257"/>
      <w:bookmarkStart w:id="186" w:name="_Toc207870755"/>
      <w:r w:rsidRPr="00627DA0">
        <w:t xml:space="preserve">Table </w:t>
      </w:r>
      <w:fldSimple w:instr=" SEQ Table \* ARABIC ">
        <w:r w:rsidR="00431297" w:rsidRPr="00627DA0">
          <w:t>26</w:t>
        </w:r>
      </w:fldSimple>
      <w:bookmarkEnd w:id="185"/>
      <w:r w:rsidRPr="00627DA0">
        <w:t>: Alignment of Commercial Program History and Potential by End Use (MWh)</w:t>
      </w:r>
      <w:bookmarkEnd w:id="186"/>
    </w:p>
    <w:tbl>
      <w:tblPr>
        <w:tblW w:w="5000" w:type="pct"/>
        <w:tblLook w:val="04A0" w:firstRow="1" w:lastRow="0" w:firstColumn="1" w:lastColumn="0" w:noHBand="0" w:noVBand="1"/>
      </w:tblPr>
      <w:tblGrid>
        <w:gridCol w:w="1708"/>
        <w:gridCol w:w="870"/>
        <w:gridCol w:w="223"/>
        <w:gridCol w:w="1093"/>
        <w:gridCol w:w="377"/>
        <w:gridCol w:w="717"/>
        <w:gridCol w:w="1093"/>
        <w:gridCol w:w="1093"/>
        <w:gridCol w:w="1093"/>
        <w:gridCol w:w="1093"/>
      </w:tblGrid>
      <w:tr w:rsidR="00D64E87" w:rsidRPr="00627DA0" w14:paraId="4A6EE674" w14:textId="77777777" w:rsidTr="002B151F">
        <w:trPr>
          <w:trHeight w:val="315"/>
        </w:trPr>
        <w:tc>
          <w:tcPr>
            <w:tcW w:w="912" w:type="pct"/>
            <w:tcBorders>
              <w:top w:val="single" w:sz="8" w:space="0" w:color="auto"/>
              <w:left w:val="nil"/>
              <w:bottom w:val="single" w:sz="8" w:space="0" w:color="auto"/>
              <w:right w:val="nil"/>
            </w:tcBorders>
            <w:shd w:val="clear" w:color="000000" w:fill="44546A"/>
            <w:noWrap/>
            <w:vAlign w:val="bottom"/>
            <w:hideMark/>
          </w:tcPr>
          <w:p w14:paraId="698B94D3"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 </w:t>
            </w:r>
          </w:p>
        </w:tc>
        <w:tc>
          <w:tcPr>
            <w:tcW w:w="465" w:type="pct"/>
            <w:tcBorders>
              <w:top w:val="single" w:sz="8" w:space="0" w:color="auto"/>
              <w:left w:val="nil"/>
              <w:bottom w:val="single" w:sz="8" w:space="0" w:color="auto"/>
              <w:right w:val="nil"/>
            </w:tcBorders>
            <w:shd w:val="clear" w:color="000000" w:fill="44546A"/>
            <w:noWrap/>
            <w:vAlign w:val="bottom"/>
            <w:hideMark/>
          </w:tcPr>
          <w:p w14:paraId="2AD945A2"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 </w:t>
            </w:r>
          </w:p>
        </w:tc>
        <w:tc>
          <w:tcPr>
            <w:tcW w:w="904" w:type="pct"/>
            <w:gridSpan w:val="3"/>
            <w:tcBorders>
              <w:top w:val="single" w:sz="8" w:space="0" w:color="auto"/>
              <w:left w:val="nil"/>
              <w:bottom w:val="single" w:sz="8" w:space="0" w:color="auto"/>
              <w:right w:val="nil"/>
            </w:tcBorders>
            <w:shd w:val="clear" w:color="000000" w:fill="44546A"/>
            <w:noWrap/>
            <w:vAlign w:val="bottom"/>
            <w:hideMark/>
          </w:tcPr>
          <w:p w14:paraId="6C512FAA"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Program History</w:t>
            </w:r>
          </w:p>
        </w:tc>
        <w:tc>
          <w:tcPr>
            <w:tcW w:w="383" w:type="pct"/>
            <w:tcBorders>
              <w:top w:val="single" w:sz="8" w:space="0" w:color="auto"/>
              <w:left w:val="nil"/>
              <w:bottom w:val="single" w:sz="8" w:space="0" w:color="auto"/>
              <w:right w:val="nil"/>
            </w:tcBorders>
            <w:shd w:val="clear" w:color="000000" w:fill="44546A"/>
            <w:noWrap/>
            <w:vAlign w:val="bottom"/>
            <w:hideMark/>
          </w:tcPr>
          <w:p w14:paraId="019E8878"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 </w:t>
            </w:r>
          </w:p>
        </w:tc>
        <w:tc>
          <w:tcPr>
            <w:tcW w:w="2336" w:type="pct"/>
            <w:gridSpan w:val="4"/>
            <w:tcBorders>
              <w:top w:val="single" w:sz="8" w:space="0" w:color="auto"/>
              <w:left w:val="single" w:sz="4" w:space="0" w:color="auto"/>
              <w:bottom w:val="single" w:sz="8" w:space="0" w:color="auto"/>
              <w:right w:val="nil"/>
            </w:tcBorders>
            <w:shd w:val="clear" w:color="000000" w:fill="44546A"/>
            <w:noWrap/>
            <w:vAlign w:val="bottom"/>
            <w:hideMark/>
          </w:tcPr>
          <w:p w14:paraId="39E612E0" w14:textId="77777777" w:rsidR="00D64E87" w:rsidRPr="00627DA0" w:rsidRDefault="00D64E87" w:rsidP="002B151F">
            <w:pPr>
              <w:spacing w:after="0" w:line="240" w:lineRule="auto"/>
              <w:jc w:val="center"/>
              <w:rPr>
                <w:rFonts w:eastAsia="Times New Roman" w:cs="Times New Roman"/>
                <w:b/>
                <w:bCs/>
                <w:color w:val="FFFFFF"/>
                <w:sz w:val="20"/>
                <w:szCs w:val="20"/>
              </w:rPr>
            </w:pPr>
            <w:r w:rsidRPr="00627DA0">
              <w:rPr>
                <w:rFonts w:eastAsia="Times New Roman" w:cs="Times New Roman"/>
                <w:b/>
                <w:bCs/>
                <w:color w:val="FFFFFF"/>
                <w:sz w:val="20"/>
                <w:szCs w:val="20"/>
              </w:rPr>
              <w:t>CPA Cost-Effective Potential</w:t>
            </w:r>
          </w:p>
        </w:tc>
      </w:tr>
      <w:tr w:rsidR="00D64E87" w:rsidRPr="00627DA0" w14:paraId="10E2B5F2" w14:textId="77777777" w:rsidTr="002B151F">
        <w:trPr>
          <w:trHeight w:val="315"/>
        </w:trPr>
        <w:tc>
          <w:tcPr>
            <w:tcW w:w="912" w:type="pct"/>
            <w:tcBorders>
              <w:top w:val="nil"/>
              <w:left w:val="nil"/>
              <w:bottom w:val="single" w:sz="8" w:space="0" w:color="auto"/>
              <w:right w:val="nil"/>
            </w:tcBorders>
            <w:shd w:val="clear" w:color="000000" w:fill="002C7C"/>
            <w:noWrap/>
            <w:vAlign w:val="bottom"/>
            <w:hideMark/>
          </w:tcPr>
          <w:p w14:paraId="1B8BD599"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End Use</w:t>
            </w:r>
          </w:p>
        </w:tc>
        <w:tc>
          <w:tcPr>
            <w:tcW w:w="584" w:type="pct"/>
            <w:gridSpan w:val="2"/>
            <w:tcBorders>
              <w:top w:val="nil"/>
              <w:left w:val="nil"/>
              <w:bottom w:val="single" w:sz="8" w:space="0" w:color="auto"/>
              <w:right w:val="nil"/>
            </w:tcBorders>
            <w:shd w:val="clear" w:color="000000" w:fill="002C7C"/>
            <w:noWrap/>
            <w:vAlign w:val="bottom"/>
            <w:hideMark/>
          </w:tcPr>
          <w:p w14:paraId="5E8DFFCF"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2022</w:t>
            </w:r>
          </w:p>
        </w:tc>
        <w:tc>
          <w:tcPr>
            <w:tcW w:w="584" w:type="pct"/>
            <w:tcBorders>
              <w:top w:val="nil"/>
              <w:left w:val="nil"/>
              <w:bottom w:val="single" w:sz="8" w:space="0" w:color="auto"/>
              <w:right w:val="nil"/>
            </w:tcBorders>
            <w:shd w:val="clear" w:color="000000" w:fill="002C7C"/>
            <w:noWrap/>
            <w:vAlign w:val="bottom"/>
            <w:hideMark/>
          </w:tcPr>
          <w:p w14:paraId="089B8F01"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2023</w:t>
            </w:r>
          </w:p>
        </w:tc>
        <w:tc>
          <w:tcPr>
            <w:tcW w:w="584" w:type="pct"/>
            <w:gridSpan w:val="2"/>
            <w:tcBorders>
              <w:top w:val="nil"/>
              <w:left w:val="nil"/>
              <w:bottom w:val="single" w:sz="8" w:space="0" w:color="auto"/>
              <w:right w:val="nil"/>
            </w:tcBorders>
            <w:shd w:val="clear" w:color="000000" w:fill="002C7C"/>
            <w:noWrap/>
            <w:vAlign w:val="bottom"/>
            <w:hideMark/>
          </w:tcPr>
          <w:p w14:paraId="52C9D4EE"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2024</w:t>
            </w:r>
          </w:p>
        </w:tc>
        <w:tc>
          <w:tcPr>
            <w:tcW w:w="584" w:type="pct"/>
            <w:tcBorders>
              <w:top w:val="nil"/>
              <w:left w:val="nil"/>
              <w:bottom w:val="single" w:sz="8" w:space="0" w:color="auto"/>
              <w:right w:val="nil"/>
            </w:tcBorders>
            <w:shd w:val="clear" w:color="000000" w:fill="002C7C"/>
            <w:noWrap/>
            <w:vAlign w:val="bottom"/>
            <w:hideMark/>
          </w:tcPr>
          <w:p w14:paraId="23FA97D0"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2026</w:t>
            </w:r>
          </w:p>
        </w:tc>
        <w:tc>
          <w:tcPr>
            <w:tcW w:w="584" w:type="pct"/>
            <w:tcBorders>
              <w:top w:val="nil"/>
              <w:left w:val="nil"/>
              <w:bottom w:val="single" w:sz="8" w:space="0" w:color="auto"/>
              <w:right w:val="nil"/>
            </w:tcBorders>
            <w:shd w:val="clear" w:color="000000" w:fill="002C7C"/>
            <w:noWrap/>
            <w:vAlign w:val="bottom"/>
            <w:hideMark/>
          </w:tcPr>
          <w:p w14:paraId="5F9EC8DF"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2027</w:t>
            </w:r>
          </w:p>
        </w:tc>
        <w:tc>
          <w:tcPr>
            <w:tcW w:w="584" w:type="pct"/>
            <w:tcBorders>
              <w:top w:val="nil"/>
              <w:left w:val="nil"/>
              <w:bottom w:val="single" w:sz="8" w:space="0" w:color="auto"/>
              <w:right w:val="nil"/>
            </w:tcBorders>
            <w:shd w:val="clear" w:color="000000" w:fill="002C7C"/>
            <w:noWrap/>
            <w:vAlign w:val="bottom"/>
            <w:hideMark/>
          </w:tcPr>
          <w:p w14:paraId="698D09B2"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2028</w:t>
            </w:r>
          </w:p>
        </w:tc>
        <w:tc>
          <w:tcPr>
            <w:tcW w:w="584" w:type="pct"/>
            <w:tcBorders>
              <w:top w:val="nil"/>
              <w:left w:val="nil"/>
              <w:bottom w:val="single" w:sz="8" w:space="0" w:color="auto"/>
              <w:right w:val="nil"/>
            </w:tcBorders>
            <w:shd w:val="clear" w:color="000000" w:fill="002C7C"/>
            <w:noWrap/>
            <w:vAlign w:val="bottom"/>
            <w:hideMark/>
          </w:tcPr>
          <w:p w14:paraId="62B9E713"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2029</w:t>
            </w:r>
          </w:p>
        </w:tc>
      </w:tr>
      <w:tr w:rsidR="00D64E87" w:rsidRPr="00627DA0" w14:paraId="64D16AE9" w14:textId="77777777" w:rsidTr="002B151F">
        <w:trPr>
          <w:trHeight w:val="300"/>
        </w:trPr>
        <w:tc>
          <w:tcPr>
            <w:tcW w:w="912" w:type="pct"/>
            <w:tcBorders>
              <w:top w:val="nil"/>
              <w:left w:val="nil"/>
              <w:bottom w:val="nil"/>
              <w:right w:val="nil"/>
            </w:tcBorders>
            <w:noWrap/>
            <w:vAlign w:val="bottom"/>
            <w:hideMark/>
          </w:tcPr>
          <w:p w14:paraId="646AC9EC"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Compressed Air</w:t>
            </w:r>
          </w:p>
        </w:tc>
        <w:tc>
          <w:tcPr>
            <w:tcW w:w="584" w:type="pct"/>
            <w:gridSpan w:val="2"/>
            <w:tcBorders>
              <w:top w:val="nil"/>
              <w:left w:val="nil"/>
              <w:bottom w:val="nil"/>
              <w:right w:val="nil"/>
            </w:tcBorders>
            <w:shd w:val="clear" w:color="000000" w:fill="FFFFFF"/>
            <w:noWrap/>
            <w:vAlign w:val="bottom"/>
            <w:hideMark/>
          </w:tcPr>
          <w:p w14:paraId="6FD147B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4AB9F1C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gridSpan w:val="2"/>
            <w:tcBorders>
              <w:top w:val="nil"/>
              <w:left w:val="nil"/>
              <w:bottom w:val="nil"/>
              <w:right w:val="nil"/>
            </w:tcBorders>
            <w:shd w:val="clear" w:color="000000" w:fill="FFFFFF"/>
            <w:noWrap/>
            <w:vAlign w:val="bottom"/>
            <w:hideMark/>
          </w:tcPr>
          <w:p w14:paraId="5A7E451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single" w:sz="4" w:space="0" w:color="auto"/>
              <w:bottom w:val="nil"/>
              <w:right w:val="nil"/>
            </w:tcBorders>
            <w:shd w:val="clear" w:color="000000" w:fill="FFFFFF"/>
            <w:noWrap/>
            <w:vAlign w:val="bottom"/>
            <w:hideMark/>
          </w:tcPr>
          <w:p w14:paraId="392CD08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tcBorders>
              <w:top w:val="nil"/>
              <w:left w:val="nil"/>
              <w:bottom w:val="nil"/>
              <w:right w:val="nil"/>
            </w:tcBorders>
            <w:shd w:val="clear" w:color="000000" w:fill="FFFFFF"/>
            <w:noWrap/>
            <w:vAlign w:val="bottom"/>
            <w:hideMark/>
          </w:tcPr>
          <w:p w14:paraId="0749AB9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tcBorders>
              <w:top w:val="nil"/>
              <w:left w:val="nil"/>
              <w:bottom w:val="nil"/>
              <w:right w:val="nil"/>
            </w:tcBorders>
            <w:shd w:val="clear" w:color="000000" w:fill="FFFFFF"/>
            <w:noWrap/>
            <w:vAlign w:val="bottom"/>
            <w:hideMark/>
          </w:tcPr>
          <w:p w14:paraId="30483E5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w:t>
            </w:r>
          </w:p>
        </w:tc>
        <w:tc>
          <w:tcPr>
            <w:tcW w:w="584" w:type="pct"/>
            <w:tcBorders>
              <w:top w:val="nil"/>
              <w:left w:val="nil"/>
              <w:bottom w:val="nil"/>
              <w:right w:val="nil"/>
            </w:tcBorders>
            <w:shd w:val="clear" w:color="000000" w:fill="FFFFFF"/>
            <w:noWrap/>
            <w:vAlign w:val="bottom"/>
            <w:hideMark/>
          </w:tcPr>
          <w:p w14:paraId="5E8D10F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w:t>
            </w:r>
          </w:p>
        </w:tc>
      </w:tr>
      <w:tr w:rsidR="00D64E87" w:rsidRPr="00627DA0" w14:paraId="3983CD62" w14:textId="77777777" w:rsidTr="002B151F">
        <w:trPr>
          <w:trHeight w:val="300"/>
        </w:trPr>
        <w:tc>
          <w:tcPr>
            <w:tcW w:w="912" w:type="pct"/>
            <w:tcBorders>
              <w:top w:val="nil"/>
              <w:left w:val="nil"/>
              <w:bottom w:val="nil"/>
              <w:right w:val="nil"/>
            </w:tcBorders>
            <w:noWrap/>
            <w:vAlign w:val="bottom"/>
            <w:hideMark/>
          </w:tcPr>
          <w:p w14:paraId="50FF64E7"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Electronics</w:t>
            </w:r>
          </w:p>
        </w:tc>
        <w:tc>
          <w:tcPr>
            <w:tcW w:w="584" w:type="pct"/>
            <w:gridSpan w:val="2"/>
            <w:tcBorders>
              <w:top w:val="nil"/>
              <w:left w:val="nil"/>
              <w:bottom w:val="nil"/>
              <w:right w:val="nil"/>
            </w:tcBorders>
            <w:shd w:val="clear" w:color="000000" w:fill="FFFFFC"/>
            <w:noWrap/>
            <w:vAlign w:val="bottom"/>
            <w:hideMark/>
          </w:tcPr>
          <w:p w14:paraId="70CEE03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27</w:t>
            </w:r>
          </w:p>
        </w:tc>
        <w:tc>
          <w:tcPr>
            <w:tcW w:w="584" w:type="pct"/>
            <w:tcBorders>
              <w:top w:val="nil"/>
              <w:left w:val="nil"/>
              <w:bottom w:val="nil"/>
              <w:right w:val="nil"/>
            </w:tcBorders>
            <w:shd w:val="clear" w:color="000000" w:fill="FFFFFC"/>
            <w:noWrap/>
            <w:vAlign w:val="bottom"/>
            <w:hideMark/>
          </w:tcPr>
          <w:p w14:paraId="4B7C5FD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31</w:t>
            </w:r>
          </w:p>
        </w:tc>
        <w:tc>
          <w:tcPr>
            <w:tcW w:w="584" w:type="pct"/>
            <w:gridSpan w:val="2"/>
            <w:tcBorders>
              <w:top w:val="nil"/>
              <w:left w:val="nil"/>
              <w:bottom w:val="nil"/>
              <w:right w:val="nil"/>
            </w:tcBorders>
            <w:shd w:val="clear" w:color="000000" w:fill="FFFFFC"/>
            <w:noWrap/>
            <w:vAlign w:val="bottom"/>
            <w:hideMark/>
          </w:tcPr>
          <w:p w14:paraId="7D75AE6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30</w:t>
            </w:r>
          </w:p>
        </w:tc>
        <w:tc>
          <w:tcPr>
            <w:tcW w:w="584" w:type="pct"/>
            <w:tcBorders>
              <w:top w:val="nil"/>
              <w:left w:val="single" w:sz="4" w:space="0" w:color="auto"/>
              <w:bottom w:val="nil"/>
              <w:right w:val="nil"/>
            </w:tcBorders>
            <w:shd w:val="clear" w:color="000000" w:fill="FFFFFD"/>
            <w:noWrap/>
            <w:vAlign w:val="bottom"/>
            <w:hideMark/>
          </w:tcPr>
          <w:p w14:paraId="26B12D9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18</w:t>
            </w:r>
          </w:p>
        </w:tc>
        <w:tc>
          <w:tcPr>
            <w:tcW w:w="584" w:type="pct"/>
            <w:tcBorders>
              <w:top w:val="nil"/>
              <w:left w:val="nil"/>
              <w:bottom w:val="nil"/>
              <w:right w:val="nil"/>
            </w:tcBorders>
            <w:shd w:val="clear" w:color="000000" w:fill="FFFFFB"/>
            <w:noWrap/>
            <w:vAlign w:val="bottom"/>
            <w:hideMark/>
          </w:tcPr>
          <w:p w14:paraId="762FCBD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35</w:t>
            </w:r>
          </w:p>
        </w:tc>
        <w:tc>
          <w:tcPr>
            <w:tcW w:w="584" w:type="pct"/>
            <w:tcBorders>
              <w:top w:val="nil"/>
              <w:left w:val="nil"/>
              <w:bottom w:val="nil"/>
              <w:right w:val="nil"/>
            </w:tcBorders>
            <w:shd w:val="clear" w:color="000000" w:fill="FFFEF8"/>
            <w:noWrap/>
            <w:vAlign w:val="bottom"/>
            <w:hideMark/>
          </w:tcPr>
          <w:p w14:paraId="22AC790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61</w:t>
            </w:r>
          </w:p>
        </w:tc>
        <w:tc>
          <w:tcPr>
            <w:tcW w:w="584" w:type="pct"/>
            <w:tcBorders>
              <w:top w:val="nil"/>
              <w:left w:val="nil"/>
              <w:bottom w:val="nil"/>
              <w:right w:val="nil"/>
            </w:tcBorders>
            <w:shd w:val="clear" w:color="000000" w:fill="FFFDF4"/>
            <w:noWrap/>
            <w:vAlign w:val="bottom"/>
            <w:hideMark/>
          </w:tcPr>
          <w:p w14:paraId="4DAB23A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98</w:t>
            </w:r>
          </w:p>
        </w:tc>
      </w:tr>
      <w:tr w:rsidR="00D64E87" w:rsidRPr="00627DA0" w14:paraId="00C4E341" w14:textId="77777777" w:rsidTr="002B151F">
        <w:trPr>
          <w:trHeight w:val="300"/>
        </w:trPr>
        <w:tc>
          <w:tcPr>
            <w:tcW w:w="912" w:type="pct"/>
            <w:tcBorders>
              <w:top w:val="nil"/>
              <w:left w:val="nil"/>
              <w:bottom w:val="nil"/>
              <w:right w:val="nil"/>
            </w:tcBorders>
            <w:noWrap/>
            <w:vAlign w:val="bottom"/>
            <w:hideMark/>
          </w:tcPr>
          <w:p w14:paraId="106AEAEB"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Food Preparation</w:t>
            </w:r>
          </w:p>
        </w:tc>
        <w:tc>
          <w:tcPr>
            <w:tcW w:w="584" w:type="pct"/>
            <w:gridSpan w:val="2"/>
            <w:tcBorders>
              <w:top w:val="nil"/>
              <w:left w:val="nil"/>
              <w:bottom w:val="nil"/>
              <w:right w:val="nil"/>
            </w:tcBorders>
            <w:shd w:val="clear" w:color="000000" w:fill="FFFFFE"/>
            <w:noWrap/>
            <w:vAlign w:val="bottom"/>
            <w:hideMark/>
          </w:tcPr>
          <w:p w14:paraId="70C2E35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10</w:t>
            </w:r>
          </w:p>
        </w:tc>
        <w:tc>
          <w:tcPr>
            <w:tcW w:w="584" w:type="pct"/>
            <w:tcBorders>
              <w:top w:val="nil"/>
              <w:left w:val="nil"/>
              <w:bottom w:val="nil"/>
              <w:right w:val="nil"/>
            </w:tcBorders>
            <w:shd w:val="clear" w:color="000000" w:fill="FFFFFE"/>
            <w:noWrap/>
            <w:vAlign w:val="bottom"/>
            <w:hideMark/>
          </w:tcPr>
          <w:p w14:paraId="7F9802E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12</w:t>
            </w:r>
          </w:p>
        </w:tc>
        <w:tc>
          <w:tcPr>
            <w:tcW w:w="584" w:type="pct"/>
            <w:gridSpan w:val="2"/>
            <w:tcBorders>
              <w:top w:val="nil"/>
              <w:left w:val="nil"/>
              <w:bottom w:val="nil"/>
              <w:right w:val="nil"/>
            </w:tcBorders>
            <w:shd w:val="clear" w:color="000000" w:fill="FFFFFE"/>
            <w:noWrap/>
            <w:vAlign w:val="bottom"/>
            <w:hideMark/>
          </w:tcPr>
          <w:p w14:paraId="05B5303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11</w:t>
            </w:r>
          </w:p>
        </w:tc>
        <w:tc>
          <w:tcPr>
            <w:tcW w:w="584" w:type="pct"/>
            <w:tcBorders>
              <w:top w:val="nil"/>
              <w:left w:val="single" w:sz="4" w:space="0" w:color="auto"/>
              <w:bottom w:val="nil"/>
              <w:right w:val="nil"/>
            </w:tcBorders>
            <w:shd w:val="clear" w:color="000000" w:fill="FFFFFF"/>
            <w:noWrap/>
            <w:vAlign w:val="bottom"/>
            <w:hideMark/>
          </w:tcPr>
          <w:p w14:paraId="13077A0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8</w:t>
            </w:r>
          </w:p>
        </w:tc>
        <w:tc>
          <w:tcPr>
            <w:tcW w:w="584" w:type="pct"/>
            <w:tcBorders>
              <w:top w:val="nil"/>
              <w:left w:val="nil"/>
              <w:bottom w:val="nil"/>
              <w:right w:val="nil"/>
            </w:tcBorders>
            <w:shd w:val="clear" w:color="000000" w:fill="FFFFFE"/>
            <w:noWrap/>
            <w:vAlign w:val="bottom"/>
            <w:hideMark/>
          </w:tcPr>
          <w:p w14:paraId="20E16CC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11</w:t>
            </w:r>
          </w:p>
        </w:tc>
        <w:tc>
          <w:tcPr>
            <w:tcW w:w="584" w:type="pct"/>
            <w:tcBorders>
              <w:top w:val="nil"/>
              <w:left w:val="nil"/>
              <w:bottom w:val="nil"/>
              <w:right w:val="nil"/>
            </w:tcBorders>
            <w:shd w:val="clear" w:color="000000" w:fill="FFFFFE"/>
            <w:noWrap/>
            <w:vAlign w:val="bottom"/>
            <w:hideMark/>
          </w:tcPr>
          <w:p w14:paraId="03161EE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14</w:t>
            </w:r>
          </w:p>
        </w:tc>
        <w:tc>
          <w:tcPr>
            <w:tcW w:w="584" w:type="pct"/>
            <w:tcBorders>
              <w:top w:val="nil"/>
              <w:left w:val="nil"/>
              <w:bottom w:val="nil"/>
              <w:right w:val="nil"/>
            </w:tcBorders>
            <w:shd w:val="clear" w:color="000000" w:fill="FFFFFE"/>
            <w:noWrap/>
            <w:vAlign w:val="bottom"/>
            <w:hideMark/>
          </w:tcPr>
          <w:p w14:paraId="02AB4D6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17</w:t>
            </w:r>
          </w:p>
        </w:tc>
      </w:tr>
      <w:tr w:rsidR="00D64E87" w:rsidRPr="00627DA0" w14:paraId="2E88FDC7" w14:textId="77777777" w:rsidTr="002B151F">
        <w:trPr>
          <w:trHeight w:val="300"/>
        </w:trPr>
        <w:tc>
          <w:tcPr>
            <w:tcW w:w="912" w:type="pct"/>
            <w:tcBorders>
              <w:top w:val="nil"/>
              <w:left w:val="nil"/>
              <w:bottom w:val="nil"/>
              <w:right w:val="nil"/>
            </w:tcBorders>
            <w:noWrap/>
            <w:vAlign w:val="bottom"/>
            <w:hideMark/>
          </w:tcPr>
          <w:p w14:paraId="1C4EEAA2"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HVAC</w:t>
            </w:r>
          </w:p>
        </w:tc>
        <w:tc>
          <w:tcPr>
            <w:tcW w:w="584" w:type="pct"/>
            <w:gridSpan w:val="2"/>
            <w:tcBorders>
              <w:top w:val="nil"/>
              <w:left w:val="nil"/>
              <w:bottom w:val="nil"/>
              <w:right w:val="nil"/>
            </w:tcBorders>
            <w:shd w:val="clear" w:color="000000" w:fill="FFFFFD"/>
            <w:noWrap/>
            <w:vAlign w:val="bottom"/>
            <w:hideMark/>
          </w:tcPr>
          <w:p w14:paraId="1A8C19A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25</w:t>
            </w:r>
          </w:p>
        </w:tc>
        <w:tc>
          <w:tcPr>
            <w:tcW w:w="584" w:type="pct"/>
            <w:tcBorders>
              <w:top w:val="nil"/>
              <w:left w:val="nil"/>
              <w:bottom w:val="nil"/>
              <w:right w:val="nil"/>
            </w:tcBorders>
            <w:shd w:val="clear" w:color="000000" w:fill="FFFFFC"/>
            <w:noWrap/>
            <w:vAlign w:val="bottom"/>
            <w:hideMark/>
          </w:tcPr>
          <w:p w14:paraId="0BC0771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34</w:t>
            </w:r>
          </w:p>
        </w:tc>
        <w:tc>
          <w:tcPr>
            <w:tcW w:w="584" w:type="pct"/>
            <w:gridSpan w:val="2"/>
            <w:tcBorders>
              <w:top w:val="nil"/>
              <w:left w:val="nil"/>
              <w:bottom w:val="nil"/>
              <w:right w:val="nil"/>
            </w:tcBorders>
            <w:shd w:val="clear" w:color="000000" w:fill="FFFFFC"/>
            <w:noWrap/>
            <w:vAlign w:val="bottom"/>
            <w:hideMark/>
          </w:tcPr>
          <w:p w14:paraId="71A6081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28</w:t>
            </w:r>
          </w:p>
        </w:tc>
        <w:tc>
          <w:tcPr>
            <w:tcW w:w="584" w:type="pct"/>
            <w:tcBorders>
              <w:top w:val="nil"/>
              <w:left w:val="single" w:sz="4" w:space="0" w:color="auto"/>
              <w:bottom w:val="nil"/>
              <w:right w:val="nil"/>
            </w:tcBorders>
            <w:shd w:val="clear" w:color="000000" w:fill="FFFFFE"/>
            <w:noWrap/>
            <w:vAlign w:val="bottom"/>
            <w:hideMark/>
          </w:tcPr>
          <w:p w14:paraId="09907C6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17</w:t>
            </w:r>
          </w:p>
        </w:tc>
        <w:tc>
          <w:tcPr>
            <w:tcW w:w="584" w:type="pct"/>
            <w:tcBorders>
              <w:top w:val="nil"/>
              <w:left w:val="nil"/>
              <w:bottom w:val="nil"/>
              <w:right w:val="nil"/>
            </w:tcBorders>
            <w:shd w:val="clear" w:color="000000" w:fill="FFFFFB"/>
            <w:noWrap/>
            <w:vAlign w:val="bottom"/>
            <w:hideMark/>
          </w:tcPr>
          <w:p w14:paraId="0701113A"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37</w:t>
            </w:r>
          </w:p>
        </w:tc>
        <w:tc>
          <w:tcPr>
            <w:tcW w:w="584" w:type="pct"/>
            <w:tcBorders>
              <w:top w:val="nil"/>
              <w:left w:val="nil"/>
              <w:bottom w:val="nil"/>
              <w:right w:val="nil"/>
            </w:tcBorders>
            <w:shd w:val="clear" w:color="000000" w:fill="FFFEF8"/>
            <w:noWrap/>
            <w:vAlign w:val="bottom"/>
            <w:hideMark/>
          </w:tcPr>
          <w:p w14:paraId="4EFE8C1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67</w:t>
            </w:r>
          </w:p>
        </w:tc>
        <w:tc>
          <w:tcPr>
            <w:tcW w:w="584" w:type="pct"/>
            <w:tcBorders>
              <w:top w:val="nil"/>
              <w:left w:val="nil"/>
              <w:bottom w:val="nil"/>
              <w:right w:val="nil"/>
            </w:tcBorders>
            <w:shd w:val="clear" w:color="000000" w:fill="FFFDF3"/>
            <w:noWrap/>
            <w:vAlign w:val="bottom"/>
            <w:hideMark/>
          </w:tcPr>
          <w:p w14:paraId="1650A2FA"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106</w:t>
            </w:r>
          </w:p>
        </w:tc>
      </w:tr>
      <w:tr w:rsidR="00D64E87" w:rsidRPr="00627DA0" w14:paraId="6624276D" w14:textId="77777777" w:rsidTr="002B151F">
        <w:trPr>
          <w:trHeight w:val="300"/>
        </w:trPr>
        <w:tc>
          <w:tcPr>
            <w:tcW w:w="912" w:type="pct"/>
            <w:tcBorders>
              <w:top w:val="nil"/>
              <w:left w:val="nil"/>
              <w:bottom w:val="nil"/>
              <w:right w:val="nil"/>
            </w:tcBorders>
            <w:noWrap/>
            <w:vAlign w:val="bottom"/>
            <w:hideMark/>
          </w:tcPr>
          <w:p w14:paraId="587C9488"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Lighting</w:t>
            </w:r>
          </w:p>
        </w:tc>
        <w:tc>
          <w:tcPr>
            <w:tcW w:w="584" w:type="pct"/>
            <w:gridSpan w:val="2"/>
            <w:tcBorders>
              <w:top w:val="nil"/>
              <w:left w:val="nil"/>
              <w:bottom w:val="nil"/>
              <w:right w:val="nil"/>
            </w:tcBorders>
            <w:shd w:val="clear" w:color="000000" w:fill="FCF6D1"/>
            <w:noWrap/>
            <w:vAlign w:val="bottom"/>
            <w:hideMark/>
          </w:tcPr>
          <w:p w14:paraId="3E5B0C0F"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397</w:t>
            </w:r>
          </w:p>
        </w:tc>
        <w:tc>
          <w:tcPr>
            <w:tcW w:w="584" w:type="pct"/>
            <w:tcBorders>
              <w:top w:val="nil"/>
              <w:left w:val="nil"/>
              <w:bottom w:val="nil"/>
              <w:right w:val="nil"/>
            </w:tcBorders>
            <w:shd w:val="clear" w:color="000000" w:fill="FDF9DF"/>
            <w:noWrap/>
            <w:vAlign w:val="bottom"/>
            <w:hideMark/>
          </w:tcPr>
          <w:p w14:paraId="45EA6F7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277</w:t>
            </w:r>
          </w:p>
        </w:tc>
        <w:tc>
          <w:tcPr>
            <w:tcW w:w="584" w:type="pct"/>
            <w:gridSpan w:val="2"/>
            <w:tcBorders>
              <w:top w:val="nil"/>
              <w:left w:val="nil"/>
              <w:bottom w:val="nil"/>
              <w:right w:val="nil"/>
            </w:tcBorders>
            <w:shd w:val="clear" w:color="000000" w:fill="FDFAE5"/>
            <w:noWrap/>
            <w:vAlign w:val="bottom"/>
            <w:hideMark/>
          </w:tcPr>
          <w:p w14:paraId="4DC233A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231</w:t>
            </w:r>
          </w:p>
        </w:tc>
        <w:tc>
          <w:tcPr>
            <w:tcW w:w="584" w:type="pct"/>
            <w:tcBorders>
              <w:top w:val="nil"/>
              <w:left w:val="single" w:sz="4" w:space="0" w:color="auto"/>
              <w:bottom w:val="nil"/>
              <w:right w:val="nil"/>
            </w:tcBorders>
            <w:shd w:val="clear" w:color="000000" w:fill="FEFBE8"/>
            <w:noWrap/>
            <w:vAlign w:val="bottom"/>
            <w:hideMark/>
          </w:tcPr>
          <w:p w14:paraId="2E440281"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199</w:t>
            </w:r>
          </w:p>
        </w:tc>
        <w:tc>
          <w:tcPr>
            <w:tcW w:w="584" w:type="pct"/>
            <w:tcBorders>
              <w:top w:val="nil"/>
              <w:left w:val="nil"/>
              <w:bottom w:val="nil"/>
              <w:right w:val="nil"/>
            </w:tcBorders>
            <w:shd w:val="clear" w:color="000000" w:fill="FDF9DE"/>
            <w:noWrap/>
            <w:vAlign w:val="bottom"/>
            <w:hideMark/>
          </w:tcPr>
          <w:p w14:paraId="0220E63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293</w:t>
            </w:r>
          </w:p>
        </w:tc>
        <w:tc>
          <w:tcPr>
            <w:tcW w:w="584" w:type="pct"/>
            <w:tcBorders>
              <w:top w:val="nil"/>
              <w:left w:val="nil"/>
              <w:bottom w:val="nil"/>
              <w:right w:val="nil"/>
            </w:tcBorders>
            <w:shd w:val="clear" w:color="000000" w:fill="FCF6CF"/>
            <w:noWrap/>
            <w:vAlign w:val="bottom"/>
            <w:hideMark/>
          </w:tcPr>
          <w:p w14:paraId="432D3755"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422</w:t>
            </w:r>
          </w:p>
        </w:tc>
        <w:tc>
          <w:tcPr>
            <w:tcW w:w="584" w:type="pct"/>
            <w:tcBorders>
              <w:top w:val="nil"/>
              <w:left w:val="nil"/>
              <w:bottom w:val="nil"/>
              <w:right w:val="nil"/>
            </w:tcBorders>
            <w:shd w:val="clear" w:color="000000" w:fill="FBF4C6"/>
            <w:noWrap/>
            <w:vAlign w:val="bottom"/>
            <w:hideMark/>
          </w:tcPr>
          <w:p w14:paraId="38B07FD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492</w:t>
            </w:r>
          </w:p>
        </w:tc>
      </w:tr>
      <w:tr w:rsidR="00D64E87" w:rsidRPr="00627DA0" w14:paraId="2C46D4CA" w14:textId="77777777" w:rsidTr="002B151F">
        <w:trPr>
          <w:trHeight w:val="300"/>
        </w:trPr>
        <w:tc>
          <w:tcPr>
            <w:tcW w:w="912" w:type="pct"/>
            <w:tcBorders>
              <w:top w:val="nil"/>
              <w:left w:val="nil"/>
              <w:bottom w:val="nil"/>
              <w:right w:val="nil"/>
            </w:tcBorders>
            <w:noWrap/>
            <w:vAlign w:val="bottom"/>
            <w:hideMark/>
          </w:tcPr>
          <w:p w14:paraId="14096AC6"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Motors/Drives</w:t>
            </w:r>
          </w:p>
        </w:tc>
        <w:tc>
          <w:tcPr>
            <w:tcW w:w="584" w:type="pct"/>
            <w:gridSpan w:val="2"/>
            <w:tcBorders>
              <w:top w:val="nil"/>
              <w:left w:val="nil"/>
              <w:bottom w:val="nil"/>
              <w:right w:val="nil"/>
            </w:tcBorders>
            <w:shd w:val="clear" w:color="000000" w:fill="FFFFFD"/>
            <w:noWrap/>
            <w:vAlign w:val="bottom"/>
            <w:hideMark/>
          </w:tcPr>
          <w:p w14:paraId="4851F02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23</w:t>
            </w:r>
          </w:p>
        </w:tc>
        <w:tc>
          <w:tcPr>
            <w:tcW w:w="584" w:type="pct"/>
            <w:tcBorders>
              <w:top w:val="nil"/>
              <w:left w:val="nil"/>
              <w:bottom w:val="nil"/>
              <w:right w:val="nil"/>
            </w:tcBorders>
            <w:shd w:val="clear" w:color="000000" w:fill="FFFFFC"/>
            <w:noWrap/>
            <w:vAlign w:val="bottom"/>
            <w:hideMark/>
          </w:tcPr>
          <w:p w14:paraId="0A776AF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27</w:t>
            </w:r>
          </w:p>
        </w:tc>
        <w:tc>
          <w:tcPr>
            <w:tcW w:w="584" w:type="pct"/>
            <w:gridSpan w:val="2"/>
            <w:tcBorders>
              <w:top w:val="nil"/>
              <w:left w:val="nil"/>
              <w:bottom w:val="nil"/>
              <w:right w:val="nil"/>
            </w:tcBorders>
            <w:shd w:val="clear" w:color="000000" w:fill="FFFFFC"/>
            <w:noWrap/>
            <w:vAlign w:val="bottom"/>
            <w:hideMark/>
          </w:tcPr>
          <w:p w14:paraId="224FCBF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27</w:t>
            </w:r>
          </w:p>
        </w:tc>
        <w:tc>
          <w:tcPr>
            <w:tcW w:w="584" w:type="pct"/>
            <w:tcBorders>
              <w:top w:val="nil"/>
              <w:left w:val="single" w:sz="4" w:space="0" w:color="auto"/>
              <w:bottom w:val="nil"/>
              <w:right w:val="nil"/>
            </w:tcBorders>
            <w:shd w:val="clear" w:color="000000" w:fill="FFFFFE"/>
            <w:noWrap/>
            <w:vAlign w:val="bottom"/>
            <w:hideMark/>
          </w:tcPr>
          <w:p w14:paraId="6A519A9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15</w:t>
            </w:r>
          </w:p>
        </w:tc>
        <w:tc>
          <w:tcPr>
            <w:tcW w:w="584" w:type="pct"/>
            <w:tcBorders>
              <w:top w:val="nil"/>
              <w:left w:val="nil"/>
              <w:bottom w:val="nil"/>
              <w:right w:val="nil"/>
            </w:tcBorders>
            <w:shd w:val="clear" w:color="000000" w:fill="FFFFFD"/>
            <w:noWrap/>
            <w:vAlign w:val="bottom"/>
            <w:hideMark/>
          </w:tcPr>
          <w:p w14:paraId="57A3E84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26</w:t>
            </w:r>
          </w:p>
        </w:tc>
        <w:tc>
          <w:tcPr>
            <w:tcW w:w="584" w:type="pct"/>
            <w:tcBorders>
              <w:top w:val="nil"/>
              <w:left w:val="nil"/>
              <w:bottom w:val="nil"/>
              <w:right w:val="nil"/>
            </w:tcBorders>
            <w:shd w:val="clear" w:color="000000" w:fill="FFFFFB"/>
            <w:noWrap/>
            <w:vAlign w:val="bottom"/>
            <w:hideMark/>
          </w:tcPr>
          <w:p w14:paraId="46137ED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40</w:t>
            </w:r>
          </w:p>
        </w:tc>
        <w:tc>
          <w:tcPr>
            <w:tcW w:w="584" w:type="pct"/>
            <w:tcBorders>
              <w:top w:val="nil"/>
              <w:left w:val="nil"/>
              <w:bottom w:val="nil"/>
              <w:right w:val="nil"/>
            </w:tcBorders>
            <w:shd w:val="clear" w:color="000000" w:fill="FFFEF9"/>
            <w:noWrap/>
            <w:vAlign w:val="bottom"/>
            <w:hideMark/>
          </w:tcPr>
          <w:p w14:paraId="74F669D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60</w:t>
            </w:r>
          </w:p>
        </w:tc>
      </w:tr>
      <w:tr w:rsidR="00D64E87" w:rsidRPr="00627DA0" w14:paraId="230667DA" w14:textId="77777777" w:rsidTr="002B151F">
        <w:trPr>
          <w:trHeight w:val="300"/>
        </w:trPr>
        <w:tc>
          <w:tcPr>
            <w:tcW w:w="912" w:type="pct"/>
            <w:tcBorders>
              <w:top w:val="nil"/>
              <w:left w:val="nil"/>
              <w:bottom w:val="nil"/>
              <w:right w:val="nil"/>
            </w:tcBorders>
            <w:noWrap/>
            <w:vAlign w:val="bottom"/>
            <w:hideMark/>
          </w:tcPr>
          <w:p w14:paraId="345E1D14"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Process Loads</w:t>
            </w:r>
          </w:p>
        </w:tc>
        <w:tc>
          <w:tcPr>
            <w:tcW w:w="584" w:type="pct"/>
            <w:gridSpan w:val="2"/>
            <w:tcBorders>
              <w:top w:val="nil"/>
              <w:left w:val="nil"/>
              <w:bottom w:val="nil"/>
              <w:right w:val="nil"/>
            </w:tcBorders>
            <w:shd w:val="clear" w:color="000000" w:fill="FFFFFF"/>
            <w:noWrap/>
            <w:vAlign w:val="bottom"/>
            <w:hideMark/>
          </w:tcPr>
          <w:p w14:paraId="198E5DF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tcBorders>
              <w:top w:val="nil"/>
              <w:left w:val="nil"/>
              <w:bottom w:val="nil"/>
              <w:right w:val="nil"/>
            </w:tcBorders>
            <w:shd w:val="clear" w:color="000000" w:fill="FFFFFF"/>
            <w:noWrap/>
            <w:vAlign w:val="bottom"/>
            <w:hideMark/>
          </w:tcPr>
          <w:p w14:paraId="05B85E9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gridSpan w:val="2"/>
            <w:tcBorders>
              <w:top w:val="nil"/>
              <w:left w:val="nil"/>
              <w:bottom w:val="nil"/>
              <w:right w:val="nil"/>
            </w:tcBorders>
            <w:shd w:val="clear" w:color="000000" w:fill="FFFFFF"/>
            <w:noWrap/>
            <w:vAlign w:val="bottom"/>
            <w:hideMark/>
          </w:tcPr>
          <w:p w14:paraId="0D11C31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tcBorders>
              <w:top w:val="nil"/>
              <w:left w:val="single" w:sz="4" w:space="0" w:color="auto"/>
              <w:bottom w:val="nil"/>
              <w:right w:val="nil"/>
            </w:tcBorders>
            <w:shd w:val="clear" w:color="000000" w:fill="FFFFFF"/>
            <w:noWrap/>
            <w:vAlign w:val="bottom"/>
            <w:hideMark/>
          </w:tcPr>
          <w:p w14:paraId="7D7602F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335CFE7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119A3C2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6502446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26368203" w14:textId="77777777" w:rsidTr="002B151F">
        <w:trPr>
          <w:trHeight w:val="300"/>
        </w:trPr>
        <w:tc>
          <w:tcPr>
            <w:tcW w:w="912" w:type="pct"/>
            <w:tcBorders>
              <w:top w:val="nil"/>
              <w:left w:val="nil"/>
              <w:bottom w:val="nil"/>
              <w:right w:val="nil"/>
            </w:tcBorders>
            <w:noWrap/>
            <w:vAlign w:val="bottom"/>
            <w:hideMark/>
          </w:tcPr>
          <w:p w14:paraId="47CAE086"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Refrigeration</w:t>
            </w:r>
          </w:p>
        </w:tc>
        <w:tc>
          <w:tcPr>
            <w:tcW w:w="584" w:type="pct"/>
            <w:gridSpan w:val="2"/>
            <w:tcBorders>
              <w:top w:val="nil"/>
              <w:left w:val="nil"/>
              <w:bottom w:val="nil"/>
              <w:right w:val="nil"/>
            </w:tcBorders>
            <w:shd w:val="clear" w:color="000000" w:fill="FFFFFF"/>
            <w:noWrap/>
            <w:vAlign w:val="bottom"/>
            <w:hideMark/>
          </w:tcPr>
          <w:p w14:paraId="4D1455B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2029099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gridSpan w:val="2"/>
            <w:tcBorders>
              <w:top w:val="nil"/>
              <w:left w:val="nil"/>
              <w:bottom w:val="nil"/>
              <w:right w:val="nil"/>
            </w:tcBorders>
            <w:shd w:val="clear" w:color="000000" w:fill="FFFEF6"/>
            <w:noWrap/>
            <w:vAlign w:val="bottom"/>
            <w:hideMark/>
          </w:tcPr>
          <w:p w14:paraId="616119C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84</w:t>
            </w:r>
          </w:p>
        </w:tc>
        <w:tc>
          <w:tcPr>
            <w:tcW w:w="584" w:type="pct"/>
            <w:tcBorders>
              <w:top w:val="nil"/>
              <w:left w:val="single" w:sz="4" w:space="0" w:color="auto"/>
              <w:bottom w:val="nil"/>
              <w:right w:val="nil"/>
            </w:tcBorders>
            <w:shd w:val="clear" w:color="000000" w:fill="FFFFFD"/>
            <w:noWrap/>
            <w:vAlign w:val="bottom"/>
            <w:hideMark/>
          </w:tcPr>
          <w:p w14:paraId="6527BFA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18</w:t>
            </w:r>
          </w:p>
        </w:tc>
        <w:tc>
          <w:tcPr>
            <w:tcW w:w="584" w:type="pct"/>
            <w:tcBorders>
              <w:top w:val="nil"/>
              <w:left w:val="nil"/>
              <w:bottom w:val="nil"/>
              <w:right w:val="nil"/>
            </w:tcBorders>
            <w:shd w:val="clear" w:color="000000" w:fill="FFFFFB"/>
            <w:noWrap/>
            <w:vAlign w:val="bottom"/>
            <w:hideMark/>
          </w:tcPr>
          <w:p w14:paraId="40F0AFB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36</w:t>
            </w:r>
          </w:p>
        </w:tc>
        <w:tc>
          <w:tcPr>
            <w:tcW w:w="584" w:type="pct"/>
            <w:tcBorders>
              <w:top w:val="nil"/>
              <w:left w:val="nil"/>
              <w:bottom w:val="nil"/>
              <w:right w:val="nil"/>
            </w:tcBorders>
            <w:shd w:val="clear" w:color="000000" w:fill="FFFEF8"/>
            <w:noWrap/>
            <w:vAlign w:val="bottom"/>
            <w:hideMark/>
          </w:tcPr>
          <w:p w14:paraId="6C91692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64</w:t>
            </w:r>
          </w:p>
        </w:tc>
        <w:tc>
          <w:tcPr>
            <w:tcW w:w="584" w:type="pct"/>
            <w:tcBorders>
              <w:top w:val="nil"/>
              <w:left w:val="nil"/>
              <w:bottom w:val="nil"/>
              <w:right w:val="nil"/>
            </w:tcBorders>
            <w:shd w:val="clear" w:color="000000" w:fill="FFFDF3"/>
            <w:noWrap/>
            <w:vAlign w:val="bottom"/>
            <w:hideMark/>
          </w:tcPr>
          <w:p w14:paraId="217BD21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105</w:t>
            </w:r>
          </w:p>
        </w:tc>
      </w:tr>
      <w:tr w:rsidR="00D64E87" w:rsidRPr="00627DA0" w14:paraId="45543ACD" w14:textId="77777777" w:rsidTr="002B151F">
        <w:trPr>
          <w:trHeight w:val="300"/>
        </w:trPr>
        <w:tc>
          <w:tcPr>
            <w:tcW w:w="912" w:type="pct"/>
            <w:tcBorders>
              <w:top w:val="nil"/>
              <w:left w:val="nil"/>
              <w:bottom w:val="nil"/>
              <w:right w:val="nil"/>
            </w:tcBorders>
            <w:noWrap/>
            <w:vAlign w:val="bottom"/>
            <w:hideMark/>
          </w:tcPr>
          <w:p w14:paraId="14266A89"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Water Heat</w:t>
            </w:r>
          </w:p>
        </w:tc>
        <w:tc>
          <w:tcPr>
            <w:tcW w:w="584" w:type="pct"/>
            <w:gridSpan w:val="2"/>
            <w:tcBorders>
              <w:top w:val="nil"/>
              <w:left w:val="nil"/>
              <w:bottom w:val="nil"/>
              <w:right w:val="nil"/>
            </w:tcBorders>
            <w:shd w:val="clear" w:color="000000" w:fill="FFFFFF"/>
            <w:noWrap/>
            <w:vAlign w:val="bottom"/>
            <w:hideMark/>
          </w:tcPr>
          <w:p w14:paraId="20D1BB2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nil"/>
              <w:bottom w:val="nil"/>
              <w:right w:val="nil"/>
            </w:tcBorders>
            <w:shd w:val="clear" w:color="000000" w:fill="FFFFFF"/>
            <w:noWrap/>
            <w:vAlign w:val="bottom"/>
            <w:hideMark/>
          </w:tcPr>
          <w:p w14:paraId="29056F2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gridSpan w:val="2"/>
            <w:tcBorders>
              <w:top w:val="nil"/>
              <w:left w:val="nil"/>
              <w:bottom w:val="nil"/>
              <w:right w:val="nil"/>
            </w:tcBorders>
            <w:shd w:val="clear" w:color="000000" w:fill="FFFFFF"/>
            <w:noWrap/>
            <w:vAlign w:val="bottom"/>
            <w:hideMark/>
          </w:tcPr>
          <w:p w14:paraId="5087116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84" w:type="pct"/>
            <w:tcBorders>
              <w:top w:val="nil"/>
              <w:left w:val="single" w:sz="4" w:space="0" w:color="auto"/>
              <w:bottom w:val="nil"/>
              <w:right w:val="nil"/>
            </w:tcBorders>
            <w:shd w:val="clear" w:color="000000" w:fill="FFFFFF"/>
            <w:noWrap/>
            <w:vAlign w:val="bottom"/>
            <w:hideMark/>
          </w:tcPr>
          <w:p w14:paraId="68B3602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84" w:type="pct"/>
            <w:tcBorders>
              <w:top w:val="nil"/>
              <w:left w:val="nil"/>
              <w:bottom w:val="nil"/>
              <w:right w:val="nil"/>
            </w:tcBorders>
            <w:shd w:val="clear" w:color="000000" w:fill="FFFFFF"/>
            <w:noWrap/>
            <w:vAlign w:val="bottom"/>
            <w:hideMark/>
          </w:tcPr>
          <w:p w14:paraId="447C99C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w:t>
            </w:r>
          </w:p>
        </w:tc>
        <w:tc>
          <w:tcPr>
            <w:tcW w:w="584" w:type="pct"/>
            <w:tcBorders>
              <w:top w:val="nil"/>
              <w:left w:val="nil"/>
              <w:bottom w:val="nil"/>
              <w:right w:val="nil"/>
            </w:tcBorders>
            <w:shd w:val="clear" w:color="000000" w:fill="FFFFFF"/>
            <w:noWrap/>
            <w:vAlign w:val="bottom"/>
            <w:hideMark/>
          </w:tcPr>
          <w:p w14:paraId="7B251AF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w:t>
            </w:r>
          </w:p>
        </w:tc>
        <w:tc>
          <w:tcPr>
            <w:tcW w:w="584" w:type="pct"/>
            <w:tcBorders>
              <w:top w:val="nil"/>
              <w:left w:val="nil"/>
              <w:bottom w:val="nil"/>
              <w:right w:val="nil"/>
            </w:tcBorders>
            <w:shd w:val="clear" w:color="000000" w:fill="FFFFFF"/>
            <w:noWrap/>
            <w:vAlign w:val="bottom"/>
            <w:hideMark/>
          </w:tcPr>
          <w:p w14:paraId="5987AF1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8</w:t>
            </w:r>
          </w:p>
        </w:tc>
      </w:tr>
      <w:tr w:rsidR="00D64E87" w:rsidRPr="00627DA0" w14:paraId="39FC950A" w14:textId="77777777" w:rsidTr="002B151F">
        <w:trPr>
          <w:trHeight w:val="315"/>
        </w:trPr>
        <w:tc>
          <w:tcPr>
            <w:tcW w:w="912" w:type="pct"/>
            <w:tcBorders>
              <w:top w:val="single" w:sz="4" w:space="0" w:color="auto"/>
              <w:left w:val="nil"/>
              <w:bottom w:val="single" w:sz="8" w:space="0" w:color="auto"/>
              <w:right w:val="nil"/>
            </w:tcBorders>
            <w:noWrap/>
            <w:vAlign w:val="bottom"/>
            <w:hideMark/>
          </w:tcPr>
          <w:p w14:paraId="4B60AE94" w14:textId="77777777" w:rsidR="00D64E87" w:rsidRPr="00627DA0" w:rsidRDefault="00D64E87" w:rsidP="002B151F">
            <w:pPr>
              <w:spacing w:after="0" w:line="240" w:lineRule="auto"/>
              <w:jc w:val="left"/>
              <w:rPr>
                <w:rFonts w:eastAsia="Times New Roman" w:cs="Times New Roman"/>
                <w:b/>
                <w:bCs/>
                <w:color w:val="000000"/>
                <w:sz w:val="20"/>
                <w:szCs w:val="20"/>
              </w:rPr>
            </w:pPr>
            <w:r w:rsidRPr="00627DA0">
              <w:rPr>
                <w:rFonts w:eastAsia="Times New Roman" w:cs="Times New Roman"/>
                <w:b/>
                <w:bCs/>
                <w:color w:val="000000"/>
                <w:sz w:val="20"/>
                <w:szCs w:val="20"/>
              </w:rPr>
              <w:t>Total</w:t>
            </w:r>
          </w:p>
        </w:tc>
        <w:tc>
          <w:tcPr>
            <w:tcW w:w="584" w:type="pct"/>
            <w:gridSpan w:val="2"/>
            <w:tcBorders>
              <w:top w:val="single" w:sz="4" w:space="0" w:color="auto"/>
              <w:left w:val="nil"/>
              <w:bottom w:val="single" w:sz="8" w:space="0" w:color="auto"/>
              <w:right w:val="nil"/>
            </w:tcBorders>
            <w:noWrap/>
            <w:vAlign w:val="bottom"/>
            <w:hideMark/>
          </w:tcPr>
          <w:p w14:paraId="57163104"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482</w:t>
            </w:r>
          </w:p>
        </w:tc>
        <w:tc>
          <w:tcPr>
            <w:tcW w:w="584" w:type="pct"/>
            <w:tcBorders>
              <w:top w:val="single" w:sz="4" w:space="0" w:color="auto"/>
              <w:left w:val="nil"/>
              <w:bottom w:val="single" w:sz="8" w:space="0" w:color="auto"/>
              <w:right w:val="nil"/>
            </w:tcBorders>
            <w:noWrap/>
            <w:vAlign w:val="bottom"/>
            <w:hideMark/>
          </w:tcPr>
          <w:p w14:paraId="09634AB6"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382</w:t>
            </w:r>
          </w:p>
        </w:tc>
        <w:tc>
          <w:tcPr>
            <w:tcW w:w="584" w:type="pct"/>
            <w:gridSpan w:val="2"/>
            <w:tcBorders>
              <w:top w:val="single" w:sz="4" w:space="0" w:color="auto"/>
              <w:left w:val="nil"/>
              <w:bottom w:val="single" w:sz="8" w:space="0" w:color="auto"/>
              <w:right w:val="nil"/>
            </w:tcBorders>
            <w:noWrap/>
            <w:vAlign w:val="bottom"/>
            <w:hideMark/>
          </w:tcPr>
          <w:p w14:paraId="4135DCF1"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413</w:t>
            </w:r>
          </w:p>
        </w:tc>
        <w:tc>
          <w:tcPr>
            <w:tcW w:w="584" w:type="pct"/>
            <w:tcBorders>
              <w:top w:val="single" w:sz="4" w:space="0" w:color="auto"/>
              <w:left w:val="single" w:sz="4" w:space="0" w:color="auto"/>
              <w:bottom w:val="single" w:sz="8" w:space="0" w:color="auto"/>
              <w:right w:val="nil"/>
            </w:tcBorders>
            <w:noWrap/>
            <w:vAlign w:val="bottom"/>
            <w:hideMark/>
          </w:tcPr>
          <w:p w14:paraId="4A69E590"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277</w:t>
            </w:r>
          </w:p>
        </w:tc>
        <w:tc>
          <w:tcPr>
            <w:tcW w:w="584" w:type="pct"/>
            <w:tcBorders>
              <w:top w:val="single" w:sz="4" w:space="0" w:color="auto"/>
              <w:left w:val="nil"/>
              <w:bottom w:val="single" w:sz="8" w:space="0" w:color="auto"/>
              <w:right w:val="nil"/>
            </w:tcBorders>
            <w:noWrap/>
            <w:vAlign w:val="bottom"/>
            <w:hideMark/>
          </w:tcPr>
          <w:p w14:paraId="5B98A140"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441</w:t>
            </w:r>
          </w:p>
        </w:tc>
        <w:tc>
          <w:tcPr>
            <w:tcW w:w="584" w:type="pct"/>
            <w:tcBorders>
              <w:top w:val="single" w:sz="4" w:space="0" w:color="auto"/>
              <w:left w:val="nil"/>
              <w:bottom w:val="single" w:sz="8" w:space="0" w:color="auto"/>
              <w:right w:val="nil"/>
            </w:tcBorders>
            <w:noWrap/>
            <w:vAlign w:val="bottom"/>
            <w:hideMark/>
          </w:tcPr>
          <w:p w14:paraId="096EE939"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676</w:t>
            </w:r>
          </w:p>
        </w:tc>
        <w:tc>
          <w:tcPr>
            <w:tcW w:w="584" w:type="pct"/>
            <w:tcBorders>
              <w:top w:val="single" w:sz="4" w:space="0" w:color="auto"/>
              <w:left w:val="nil"/>
              <w:bottom w:val="single" w:sz="8" w:space="0" w:color="auto"/>
              <w:right w:val="nil"/>
            </w:tcBorders>
            <w:noWrap/>
            <w:vAlign w:val="bottom"/>
            <w:hideMark/>
          </w:tcPr>
          <w:p w14:paraId="7EF5E26E"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890</w:t>
            </w:r>
          </w:p>
        </w:tc>
      </w:tr>
    </w:tbl>
    <w:p w14:paraId="29EE7CDF" w14:textId="77777777" w:rsidR="00D64E87" w:rsidRPr="00627DA0" w:rsidRDefault="00D64E87" w:rsidP="00D64E87"/>
    <w:p w14:paraId="3D39417E" w14:textId="77777777" w:rsidR="00D64E87" w:rsidRPr="00627DA0" w:rsidRDefault="00D64E87" w:rsidP="00D64E87">
      <w:pPr>
        <w:pStyle w:val="Heading3"/>
      </w:pPr>
      <w:r w:rsidRPr="00627DA0">
        <w:t>Industrial</w:t>
      </w:r>
    </w:p>
    <w:p w14:paraId="58924761" w14:textId="77777777" w:rsidR="00D64E87" w:rsidRPr="00627DA0" w:rsidRDefault="00D64E87" w:rsidP="00D64E87">
      <w:pPr>
        <w:rPr>
          <w:rFonts w:cs="Calibri Light"/>
        </w:rPr>
      </w:pPr>
      <w:r w:rsidRPr="00627DA0">
        <w:rPr>
          <w:rFonts w:cs="Calibri Light"/>
        </w:rPr>
        <w:t xml:space="preserve">Inland Power’s industrial sector is relatively small. Loads related to indoor agriculture operations comprise more than 40% of all industrial loads. Inland Power’s programs have little traction in the industrial sector, and some projects may be categorized under the commercial schedule. Going forward, Inland Power expects this to continue, with little movement in the sector. Accordingly, ramp rates across the industrial sector were slowed from the 2021 Plan defaults. </w:t>
      </w:r>
    </w:p>
    <w:p w14:paraId="500797C3" w14:textId="41EB694E" w:rsidR="00D64E87" w:rsidRPr="00627DA0" w:rsidRDefault="00D64E87" w:rsidP="00D64E87">
      <w:pPr>
        <w:rPr>
          <w:rFonts w:cs="Calibri Light"/>
        </w:rPr>
      </w:pPr>
      <w:r w:rsidRPr="00627DA0">
        <w:rPr>
          <w:rFonts w:cs="Calibri Light"/>
        </w:rPr>
        <w:fldChar w:fldCharType="begin"/>
      </w:r>
      <w:r w:rsidRPr="00627DA0">
        <w:rPr>
          <w:rFonts w:cs="Calibri Light"/>
        </w:rPr>
        <w:instrText xml:space="preserve"> REF _Ref65675785 \h </w:instrText>
      </w:r>
      <w:r w:rsidRPr="00627DA0">
        <w:rPr>
          <w:rFonts w:cs="Calibri Light"/>
        </w:rPr>
      </w:r>
      <w:r w:rsidRPr="00627DA0">
        <w:rPr>
          <w:rFonts w:cs="Calibri Light"/>
        </w:rPr>
        <w:fldChar w:fldCharType="separate"/>
      </w:r>
      <w:r w:rsidR="00431297" w:rsidRPr="00627DA0">
        <w:t>Table 27</w:t>
      </w:r>
      <w:r w:rsidRPr="00627DA0">
        <w:rPr>
          <w:rFonts w:cs="Calibri Light"/>
        </w:rPr>
        <w:fldChar w:fldCharType="end"/>
      </w:r>
      <w:r w:rsidRPr="00627DA0">
        <w:rPr>
          <w:rFonts w:cs="Calibri Light"/>
        </w:rPr>
        <w:t xml:space="preserve"> shows the alignment of industrial potential and recent program history by end use.</w:t>
      </w:r>
    </w:p>
    <w:p w14:paraId="4E55EC54" w14:textId="73147C34" w:rsidR="00D64E87" w:rsidRPr="00627DA0" w:rsidRDefault="00D64E87" w:rsidP="00D64E87">
      <w:pPr>
        <w:pStyle w:val="Caption"/>
      </w:pPr>
      <w:bookmarkStart w:id="187" w:name="_Ref65675785"/>
      <w:bookmarkStart w:id="188" w:name="_Toc207870756"/>
      <w:r w:rsidRPr="00627DA0">
        <w:t xml:space="preserve">Table </w:t>
      </w:r>
      <w:fldSimple w:instr=" SEQ Table \* ARABIC ">
        <w:r w:rsidR="00431297" w:rsidRPr="00627DA0">
          <w:t>27</w:t>
        </w:r>
      </w:fldSimple>
      <w:bookmarkEnd w:id="187"/>
      <w:r w:rsidRPr="00627DA0">
        <w:t>: Alignment of Industrial Program History and Potential by End Use (MWh)</w:t>
      </w:r>
      <w:bookmarkEnd w:id="188"/>
    </w:p>
    <w:tbl>
      <w:tblPr>
        <w:tblW w:w="5000" w:type="pct"/>
        <w:tblLook w:val="04A0" w:firstRow="1" w:lastRow="0" w:firstColumn="1" w:lastColumn="0" w:noHBand="0" w:noVBand="1"/>
      </w:tblPr>
      <w:tblGrid>
        <w:gridCol w:w="1972"/>
        <w:gridCol w:w="1283"/>
        <w:gridCol w:w="1294"/>
        <w:gridCol w:w="918"/>
        <w:gridCol w:w="969"/>
        <w:gridCol w:w="966"/>
        <w:gridCol w:w="966"/>
        <w:gridCol w:w="992"/>
      </w:tblGrid>
      <w:tr w:rsidR="00D64E87" w:rsidRPr="00627DA0" w14:paraId="208812C7" w14:textId="77777777" w:rsidTr="002B151F">
        <w:trPr>
          <w:trHeight w:val="315"/>
        </w:trPr>
        <w:tc>
          <w:tcPr>
            <w:tcW w:w="995" w:type="pct"/>
            <w:tcBorders>
              <w:top w:val="single" w:sz="8" w:space="0" w:color="auto"/>
              <w:left w:val="nil"/>
              <w:bottom w:val="single" w:sz="8" w:space="0" w:color="auto"/>
              <w:right w:val="nil"/>
            </w:tcBorders>
            <w:shd w:val="clear" w:color="000000" w:fill="44546A"/>
            <w:noWrap/>
            <w:vAlign w:val="bottom"/>
            <w:hideMark/>
          </w:tcPr>
          <w:p w14:paraId="51584036" w14:textId="77777777" w:rsidR="00D64E87" w:rsidRPr="00627DA0" w:rsidRDefault="00D64E87" w:rsidP="002B151F">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 </w:t>
            </w:r>
          </w:p>
        </w:tc>
        <w:tc>
          <w:tcPr>
            <w:tcW w:w="694" w:type="pct"/>
            <w:tcBorders>
              <w:top w:val="single" w:sz="8" w:space="0" w:color="auto"/>
              <w:left w:val="nil"/>
              <w:bottom w:val="single" w:sz="8" w:space="0" w:color="auto"/>
              <w:right w:val="nil"/>
            </w:tcBorders>
            <w:shd w:val="clear" w:color="000000" w:fill="44546A"/>
            <w:noWrap/>
            <w:vAlign w:val="bottom"/>
            <w:hideMark/>
          </w:tcPr>
          <w:p w14:paraId="41A42E76" w14:textId="77777777" w:rsidR="00D64E87" w:rsidRPr="00627DA0" w:rsidRDefault="00D64E87" w:rsidP="002B151F">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 </w:t>
            </w:r>
          </w:p>
        </w:tc>
        <w:tc>
          <w:tcPr>
            <w:tcW w:w="1199" w:type="pct"/>
            <w:gridSpan w:val="2"/>
            <w:tcBorders>
              <w:top w:val="single" w:sz="8" w:space="0" w:color="auto"/>
              <w:left w:val="nil"/>
              <w:bottom w:val="single" w:sz="8" w:space="0" w:color="auto"/>
              <w:right w:val="nil"/>
            </w:tcBorders>
            <w:shd w:val="clear" w:color="000000" w:fill="44546A"/>
            <w:noWrap/>
            <w:vAlign w:val="bottom"/>
            <w:hideMark/>
          </w:tcPr>
          <w:p w14:paraId="52972C59" w14:textId="77777777" w:rsidR="00D64E87" w:rsidRPr="00627DA0" w:rsidRDefault="00D64E87" w:rsidP="002B151F">
            <w:pPr>
              <w:spacing w:after="0" w:line="240" w:lineRule="auto"/>
              <w:jc w:val="center"/>
              <w:rPr>
                <w:rFonts w:eastAsia="Times New Roman" w:cs="Calibri"/>
                <w:b/>
                <w:bCs/>
                <w:color w:val="FFFFFF"/>
                <w:sz w:val="20"/>
                <w:szCs w:val="20"/>
              </w:rPr>
            </w:pPr>
            <w:r w:rsidRPr="00627DA0">
              <w:rPr>
                <w:rFonts w:eastAsia="Times New Roman" w:cs="Calibri"/>
                <w:b/>
                <w:bCs/>
                <w:color w:val="FFFFFF"/>
                <w:sz w:val="20"/>
                <w:szCs w:val="20"/>
              </w:rPr>
              <w:t xml:space="preserve"> Program History </w:t>
            </w:r>
          </w:p>
        </w:tc>
        <w:tc>
          <w:tcPr>
            <w:tcW w:w="2112" w:type="pct"/>
            <w:gridSpan w:val="4"/>
            <w:tcBorders>
              <w:top w:val="single" w:sz="8" w:space="0" w:color="auto"/>
              <w:left w:val="single" w:sz="4" w:space="0" w:color="auto"/>
              <w:bottom w:val="single" w:sz="8" w:space="0" w:color="auto"/>
              <w:right w:val="nil"/>
            </w:tcBorders>
            <w:shd w:val="clear" w:color="000000" w:fill="44546A"/>
            <w:noWrap/>
            <w:vAlign w:val="bottom"/>
            <w:hideMark/>
          </w:tcPr>
          <w:p w14:paraId="0C8D371D" w14:textId="77777777" w:rsidR="00D64E87" w:rsidRPr="00627DA0" w:rsidRDefault="00D64E87" w:rsidP="002B151F">
            <w:pPr>
              <w:spacing w:after="0" w:line="240" w:lineRule="auto"/>
              <w:jc w:val="center"/>
              <w:rPr>
                <w:rFonts w:eastAsia="Times New Roman" w:cs="Calibri"/>
                <w:b/>
                <w:bCs/>
                <w:color w:val="FFFFFF"/>
                <w:sz w:val="20"/>
                <w:szCs w:val="20"/>
              </w:rPr>
            </w:pPr>
            <w:r w:rsidRPr="00627DA0">
              <w:rPr>
                <w:rFonts w:eastAsia="Times New Roman" w:cs="Calibri"/>
                <w:b/>
                <w:bCs/>
                <w:color w:val="FFFFFF"/>
                <w:sz w:val="20"/>
                <w:szCs w:val="20"/>
              </w:rPr>
              <w:t>CPA Cost-Effective Potential</w:t>
            </w:r>
          </w:p>
        </w:tc>
      </w:tr>
      <w:tr w:rsidR="00D64E87" w:rsidRPr="00627DA0" w14:paraId="0CE0EFC9" w14:textId="77777777" w:rsidTr="002B151F">
        <w:trPr>
          <w:trHeight w:val="315"/>
        </w:trPr>
        <w:tc>
          <w:tcPr>
            <w:tcW w:w="995" w:type="pct"/>
            <w:tcBorders>
              <w:top w:val="nil"/>
              <w:left w:val="nil"/>
              <w:bottom w:val="single" w:sz="8" w:space="0" w:color="auto"/>
              <w:right w:val="nil"/>
            </w:tcBorders>
            <w:shd w:val="clear" w:color="000000" w:fill="002C7C"/>
            <w:noWrap/>
            <w:vAlign w:val="bottom"/>
            <w:hideMark/>
          </w:tcPr>
          <w:p w14:paraId="1F451B76" w14:textId="77777777" w:rsidR="00D64E87" w:rsidRPr="00627DA0" w:rsidRDefault="00D64E87" w:rsidP="002B151F">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End Use</w:t>
            </w:r>
          </w:p>
        </w:tc>
        <w:tc>
          <w:tcPr>
            <w:tcW w:w="694" w:type="pct"/>
            <w:tcBorders>
              <w:top w:val="nil"/>
              <w:left w:val="nil"/>
              <w:bottom w:val="single" w:sz="8" w:space="0" w:color="auto"/>
              <w:right w:val="nil"/>
            </w:tcBorders>
            <w:shd w:val="clear" w:color="000000" w:fill="002C7C"/>
            <w:noWrap/>
            <w:vAlign w:val="bottom"/>
            <w:hideMark/>
          </w:tcPr>
          <w:p w14:paraId="393B3610"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2022</w:t>
            </w:r>
          </w:p>
        </w:tc>
        <w:tc>
          <w:tcPr>
            <w:tcW w:w="700" w:type="pct"/>
            <w:tcBorders>
              <w:top w:val="nil"/>
              <w:left w:val="nil"/>
              <w:bottom w:val="single" w:sz="8" w:space="0" w:color="auto"/>
              <w:right w:val="nil"/>
            </w:tcBorders>
            <w:shd w:val="clear" w:color="000000" w:fill="002C7C"/>
            <w:noWrap/>
            <w:vAlign w:val="bottom"/>
            <w:hideMark/>
          </w:tcPr>
          <w:p w14:paraId="2F95E67F"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2023</w:t>
            </w:r>
          </w:p>
        </w:tc>
        <w:tc>
          <w:tcPr>
            <w:tcW w:w="498" w:type="pct"/>
            <w:tcBorders>
              <w:top w:val="nil"/>
              <w:left w:val="nil"/>
              <w:bottom w:val="single" w:sz="8" w:space="0" w:color="auto"/>
              <w:right w:val="nil"/>
            </w:tcBorders>
            <w:shd w:val="clear" w:color="000000" w:fill="002C7C"/>
            <w:noWrap/>
            <w:vAlign w:val="bottom"/>
            <w:hideMark/>
          </w:tcPr>
          <w:p w14:paraId="24B85215"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2024</w:t>
            </w:r>
          </w:p>
        </w:tc>
        <w:tc>
          <w:tcPr>
            <w:tcW w:w="526" w:type="pct"/>
            <w:tcBorders>
              <w:top w:val="nil"/>
              <w:left w:val="single" w:sz="4" w:space="0" w:color="auto"/>
              <w:bottom w:val="single" w:sz="8" w:space="0" w:color="auto"/>
              <w:right w:val="nil"/>
            </w:tcBorders>
            <w:shd w:val="clear" w:color="000000" w:fill="002C7C"/>
            <w:noWrap/>
            <w:vAlign w:val="bottom"/>
            <w:hideMark/>
          </w:tcPr>
          <w:p w14:paraId="4E31AF18"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2026</w:t>
            </w:r>
          </w:p>
        </w:tc>
        <w:tc>
          <w:tcPr>
            <w:tcW w:w="524" w:type="pct"/>
            <w:tcBorders>
              <w:top w:val="nil"/>
              <w:left w:val="nil"/>
              <w:bottom w:val="single" w:sz="8" w:space="0" w:color="auto"/>
              <w:right w:val="nil"/>
            </w:tcBorders>
            <w:shd w:val="clear" w:color="000000" w:fill="002C7C"/>
            <w:noWrap/>
            <w:vAlign w:val="bottom"/>
            <w:hideMark/>
          </w:tcPr>
          <w:p w14:paraId="6316FFC9"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2027</w:t>
            </w:r>
          </w:p>
        </w:tc>
        <w:tc>
          <w:tcPr>
            <w:tcW w:w="524" w:type="pct"/>
            <w:tcBorders>
              <w:top w:val="nil"/>
              <w:left w:val="nil"/>
              <w:bottom w:val="single" w:sz="8" w:space="0" w:color="auto"/>
              <w:right w:val="nil"/>
            </w:tcBorders>
            <w:shd w:val="clear" w:color="000000" w:fill="002C7C"/>
            <w:noWrap/>
            <w:vAlign w:val="bottom"/>
            <w:hideMark/>
          </w:tcPr>
          <w:p w14:paraId="045FBA95"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2028</w:t>
            </w:r>
          </w:p>
        </w:tc>
        <w:tc>
          <w:tcPr>
            <w:tcW w:w="538" w:type="pct"/>
            <w:tcBorders>
              <w:top w:val="nil"/>
              <w:left w:val="nil"/>
              <w:bottom w:val="single" w:sz="8" w:space="0" w:color="auto"/>
              <w:right w:val="nil"/>
            </w:tcBorders>
            <w:shd w:val="clear" w:color="000000" w:fill="002C7C"/>
            <w:noWrap/>
            <w:vAlign w:val="bottom"/>
            <w:hideMark/>
          </w:tcPr>
          <w:p w14:paraId="6785A391"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2029</w:t>
            </w:r>
          </w:p>
        </w:tc>
      </w:tr>
      <w:tr w:rsidR="00D64E87" w:rsidRPr="00627DA0" w14:paraId="01F2AA3B" w14:textId="77777777" w:rsidTr="002B151F">
        <w:trPr>
          <w:trHeight w:val="300"/>
        </w:trPr>
        <w:tc>
          <w:tcPr>
            <w:tcW w:w="995" w:type="pct"/>
            <w:tcBorders>
              <w:top w:val="nil"/>
              <w:left w:val="nil"/>
              <w:bottom w:val="nil"/>
              <w:right w:val="nil"/>
            </w:tcBorders>
            <w:noWrap/>
            <w:vAlign w:val="bottom"/>
            <w:hideMark/>
          </w:tcPr>
          <w:p w14:paraId="2C5B9A08"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Energy Management</w:t>
            </w:r>
          </w:p>
        </w:tc>
        <w:tc>
          <w:tcPr>
            <w:tcW w:w="694" w:type="pct"/>
            <w:tcBorders>
              <w:top w:val="nil"/>
              <w:left w:val="nil"/>
              <w:bottom w:val="nil"/>
              <w:right w:val="nil"/>
            </w:tcBorders>
            <w:shd w:val="clear" w:color="000000" w:fill="FFFFFF"/>
            <w:noWrap/>
            <w:vAlign w:val="bottom"/>
            <w:hideMark/>
          </w:tcPr>
          <w:p w14:paraId="5130FE98"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5FA3F751"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3053C00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C"/>
            <w:noWrap/>
            <w:vAlign w:val="bottom"/>
            <w:hideMark/>
          </w:tcPr>
          <w:p w14:paraId="17FBCCEE"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6</w:t>
            </w:r>
          </w:p>
        </w:tc>
        <w:tc>
          <w:tcPr>
            <w:tcW w:w="524" w:type="pct"/>
            <w:tcBorders>
              <w:top w:val="nil"/>
              <w:left w:val="nil"/>
              <w:bottom w:val="nil"/>
              <w:right w:val="nil"/>
            </w:tcBorders>
            <w:shd w:val="clear" w:color="000000" w:fill="FFFEF9"/>
            <w:noWrap/>
            <w:vAlign w:val="bottom"/>
            <w:hideMark/>
          </w:tcPr>
          <w:p w14:paraId="31F172E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12</w:t>
            </w:r>
          </w:p>
        </w:tc>
        <w:tc>
          <w:tcPr>
            <w:tcW w:w="524" w:type="pct"/>
            <w:tcBorders>
              <w:top w:val="nil"/>
              <w:left w:val="nil"/>
              <w:bottom w:val="nil"/>
              <w:right w:val="nil"/>
            </w:tcBorders>
            <w:shd w:val="clear" w:color="000000" w:fill="FEFDF3"/>
            <w:noWrap/>
            <w:vAlign w:val="bottom"/>
            <w:hideMark/>
          </w:tcPr>
          <w:p w14:paraId="16D18A0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22</w:t>
            </w:r>
          </w:p>
        </w:tc>
        <w:tc>
          <w:tcPr>
            <w:tcW w:w="538" w:type="pct"/>
            <w:tcBorders>
              <w:top w:val="nil"/>
              <w:left w:val="nil"/>
              <w:bottom w:val="nil"/>
              <w:right w:val="nil"/>
            </w:tcBorders>
            <w:shd w:val="clear" w:color="000000" w:fill="FEFBEB"/>
            <w:noWrap/>
            <w:vAlign w:val="bottom"/>
            <w:hideMark/>
          </w:tcPr>
          <w:p w14:paraId="7FA89896"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36</w:t>
            </w:r>
          </w:p>
        </w:tc>
      </w:tr>
      <w:tr w:rsidR="00D64E87" w:rsidRPr="00627DA0" w14:paraId="07763EE3" w14:textId="77777777" w:rsidTr="002B151F">
        <w:trPr>
          <w:trHeight w:val="300"/>
        </w:trPr>
        <w:tc>
          <w:tcPr>
            <w:tcW w:w="995" w:type="pct"/>
            <w:tcBorders>
              <w:top w:val="nil"/>
              <w:left w:val="nil"/>
              <w:bottom w:val="nil"/>
              <w:right w:val="nil"/>
            </w:tcBorders>
            <w:noWrap/>
            <w:vAlign w:val="bottom"/>
            <w:hideMark/>
          </w:tcPr>
          <w:p w14:paraId="55795719"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Compressed Air</w:t>
            </w:r>
          </w:p>
        </w:tc>
        <w:tc>
          <w:tcPr>
            <w:tcW w:w="694" w:type="pct"/>
            <w:tcBorders>
              <w:top w:val="nil"/>
              <w:left w:val="nil"/>
              <w:bottom w:val="nil"/>
              <w:right w:val="nil"/>
            </w:tcBorders>
            <w:shd w:val="clear" w:color="000000" w:fill="FFFFFF"/>
            <w:noWrap/>
            <w:vAlign w:val="bottom"/>
            <w:hideMark/>
          </w:tcPr>
          <w:p w14:paraId="2B0F46BB"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04194CF4"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59A9D806"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63D13E8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24" w:type="pct"/>
            <w:tcBorders>
              <w:top w:val="nil"/>
              <w:left w:val="nil"/>
              <w:bottom w:val="nil"/>
              <w:right w:val="nil"/>
            </w:tcBorders>
            <w:shd w:val="clear" w:color="000000" w:fill="FFFFFF"/>
            <w:noWrap/>
            <w:vAlign w:val="bottom"/>
            <w:hideMark/>
          </w:tcPr>
          <w:p w14:paraId="6D58FE3C"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24" w:type="pct"/>
            <w:tcBorders>
              <w:top w:val="nil"/>
              <w:left w:val="nil"/>
              <w:bottom w:val="nil"/>
              <w:right w:val="nil"/>
            </w:tcBorders>
            <w:shd w:val="clear" w:color="000000" w:fill="FFFFFE"/>
            <w:noWrap/>
            <w:vAlign w:val="bottom"/>
            <w:hideMark/>
          </w:tcPr>
          <w:p w14:paraId="0A1E364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w:t>
            </w:r>
          </w:p>
        </w:tc>
        <w:tc>
          <w:tcPr>
            <w:tcW w:w="538" w:type="pct"/>
            <w:tcBorders>
              <w:top w:val="nil"/>
              <w:left w:val="nil"/>
              <w:bottom w:val="nil"/>
              <w:right w:val="nil"/>
            </w:tcBorders>
            <w:shd w:val="clear" w:color="000000" w:fill="FFFFFE"/>
            <w:noWrap/>
            <w:vAlign w:val="bottom"/>
            <w:hideMark/>
          </w:tcPr>
          <w:p w14:paraId="44157D57"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w:t>
            </w:r>
          </w:p>
        </w:tc>
      </w:tr>
      <w:tr w:rsidR="00D64E87" w:rsidRPr="00627DA0" w14:paraId="43857507" w14:textId="77777777" w:rsidTr="002B151F">
        <w:trPr>
          <w:trHeight w:val="300"/>
        </w:trPr>
        <w:tc>
          <w:tcPr>
            <w:tcW w:w="995" w:type="pct"/>
            <w:tcBorders>
              <w:top w:val="nil"/>
              <w:left w:val="nil"/>
              <w:bottom w:val="nil"/>
              <w:right w:val="nil"/>
            </w:tcBorders>
            <w:noWrap/>
            <w:vAlign w:val="bottom"/>
            <w:hideMark/>
          </w:tcPr>
          <w:p w14:paraId="5E573A7E"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Fans and Blowers</w:t>
            </w:r>
          </w:p>
        </w:tc>
        <w:tc>
          <w:tcPr>
            <w:tcW w:w="694" w:type="pct"/>
            <w:tcBorders>
              <w:top w:val="nil"/>
              <w:left w:val="nil"/>
              <w:bottom w:val="nil"/>
              <w:right w:val="nil"/>
            </w:tcBorders>
            <w:shd w:val="clear" w:color="000000" w:fill="FEFBEA"/>
            <w:noWrap/>
            <w:vAlign w:val="bottom"/>
            <w:hideMark/>
          </w:tcPr>
          <w:p w14:paraId="536BDE2C"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37</w:t>
            </w:r>
          </w:p>
        </w:tc>
        <w:tc>
          <w:tcPr>
            <w:tcW w:w="700" w:type="pct"/>
            <w:tcBorders>
              <w:top w:val="nil"/>
              <w:left w:val="nil"/>
              <w:bottom w:val="nil"/>
              <w:right w:val="nil"/>
            </w:tcBorders>
            <w:shd w:val="clear" w:color="000000" w:fill="FFFFFF"/>
            <w:noWrap/>
            <w:vAlign w:val="bottom"/>
            <w:hideMark/>
          </w:tcPr>
          <w:p w14:paraId="6C371520"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18324FFC"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5D3324A0"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24" w:type="pct"/>
            <w:tcBorders>
              <w:top w:val="nil"/>
              <w:left w:val="nil"/>
              <w:bottom w:val="nil"/>
              <w:right w:val="nil"/>
            </w:tcBorders>
            <w:shd w:val="clear" w:color="000000" w:fill="FFFFFF"/>
            <w:noWrap/>
            <w:vAlign w:val="bottom"/>
            <w:hideMark/>
          </w:tcPr>
          <w:p w14:paraId="0E11032B"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w:t>
            </w:r>
          </w:p>
        </w:tc>
        <w:tc>
          <w:tcPr>
            <w:tcW w:w="524" w:type="pct"/>
            <w:tcBorders>
              <w:top w:val="nil"/>
              <w:left w:val="nil"/>
              <w:bottom w:val="nil"/>
              <w:right w:val="nil"/>
            </w:tcBorders>
            <w:shd w:val="clear" w:color="000000" w:fill="FFFFFE"/>
            <w:noWrap/>
            <w:vAlign w:val="bottom"/>
            <w:hideMark/>
          </w:tcPr>
          <w:p w14:paraId="3DB3317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w:t>
            </w:r>
          </w:p>
        </w:tc>
        <w:tc>
          <w:tcPr>
            <w:tcW w:w="538" w:type="pct"/>
            <w:tcBorders>
              <w:top w:val="nil"/>
              <w:left w:val="nil"/>
              <w:bottom w:val="nil"/>
              <w:right w:val="nil"/>
            </w:tcBorders>
            <w:shd w:val="clear" w:color="000000" w:fill="FFFFFD"/>
            <w:noWrap/>
            <w:vAlign w:val="bottom"/>
            <w:hideMark/>
          </w:tcPr>
          <w:p w14:paraId="1E7D2F1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4</w:t>
            </w:r>
          </w:p>
        </w:tc>
      </w:tr>
      <w:tr w:rsidR="00D64E87" w:rsidRPr="00627DA0" w14:paraId="3BA6F311" w14:textId="77777777" w:rsidTr="002B151F">
        <w:trPr>
          <w:trHeight w:val="270"/>
        </w:trPr>
        <w:tc>
          <w:tcPr>
            <w:tcW w:w="995" w:type="pct"/>
            <w:tcBorders>
              <w:top w:val="nil"/>
              <w:left w:val="nil"/>
              <w:bottom w:val="nil"/>
              <w:right w:val="nil"/>
            </w:tcBorders>
            <w:noWrap/>
            <w:vAlign w:val="bottom"/>
            <w:hideMark/>
          </w:tcPr>
          <w:p w14:paraId="71E7734B"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HVAC</w:t>
            </w:r>
          </w:p>
        </w:tc>
        <w:tc>
          <w:tcPr>
            <w:tcW w:w="694" w:type="pct"/>
            <w:tcBorders>
              <w:top w:val="nil"/>
              <w:left w:val="nil"/>
              <w:bottom w:val="nil"/>
              <w:right w:val="nil"/>
            </w:tcBorders>
            <w:shd w:val="clear" w:color="000000" w:fill="FFFFFF"/>
            <w:noWrap/>
            <w:vAlign w:val="bottom"/>
            <w:hideMark/>
          </w:tcPr>
          <w:p w14:paraId="573EF7B6"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25B1D783"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32A580A0"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1244514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24" w:type="pct"/>
            <w:tcBorders>
              <w:top w:val="nil"/>
              <w:left w:val="nil"/>
              <w:bottom w:val="nil"/>
              <w:right w:val="nil"/>
            </w:tcBorders>
            <w:shd w:val="clear" w:color="000000" w:fill="FFFFFF"/>
            <w:noWrap/>
            <w:vAlign w:val="bottom"/>
            <w:hideMark/>
          </w:tcPr>
          <w:p w14:paraId="61EE810E"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24" w:type="pct"/>
            <w:tcBorders>
              <w:top w:val="nil"/>
              <w:left w:val="nil"/>
              <w:bottom w:val="nil"/>
              <w:right w:val="nil"/>
            </w:tcBorders>
            <w:shd w:val="clear" w:color="000000" w:fill="FFFFFE"/>
            <w:noWrap/>
            <w:vAlign w:val="bottom"/>
            <w:hideMark/>
          </w:tcPr>
          <w:p w14:paraId="15D9F0B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w:t>
            </w:r>
          </w:p>
        </w:tc>
        <w:tc>
          <w:tcPr>
            <w:tcW w:w="538" w:type="pct"/>
            <w:tcBorders>
              <w:top w:val="nil"/>
              <w:left w:val="nil"/>
              <w:bottom w:val="nil"/>
              <w:right w:val="nil"/>
            </w:tcBorders>
            <w:shd w:val="clear" w:color="000000" w:fill="FFFFFD"/>
            <w:noWrap/>
            <w:vAlign w:val="bottom"/>
            <w:hideMark/>
          </w:tcPr>
          <w:p w14:paraId="64F5901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4</w:t>
            </w:r>
          </w:p>
        </w:tc>
      </w:tr>
      <w:tr w:rsidR="00D64E87" w:rsidRPr="00627DA0" w14:paraId="1FE71FF0" w14:textId="77777777" w:rsidTr="002B151F">
        <w:trPr>
          <w:trHeight w:val="270"/>
        </w:trPr>
        <w:tc>
          <w:tcPr>
            <w:tcW w:w="995" w:type="pct"/>
            <w:tcBorders>
              <w:top w:val="nil"/>
              <w:left w:val="nil"/>
              <w:bottom w:val="nil"/>
              <w:right w:val="nil"/>
            </w:tcBorders>
            <w:noWrap/>
            <w:vAlign w:val="bottom"/>
            <w:hideMark/>
          </w:tcPr>
          <w:p w14:paraId="0EC7AC0B"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Lighting</w:t>
            </w:r>
          </w:p>
        </w:tc>
        <w:tc>
          <w:tcPr>
            <w:tcW w:w="694" w:type="pct"/>
            <w:tcBorders>
              <w:top w:val="nil"/>
              <w:left w:val="nil"/>
              <w:bottom w:val="nil"/>
              <w:right w:val="nil"/>
            </w:tcBorders>
            <w:shd w:val="clear" w:color="000000" w:fill="FFFFFF"/>
            <w:noWrap/>
            <w:vAlign w:val="bottom"/>
            <w:hideMark/>
          </w:tcPr>
          <w:p w14:paraId="1D1FE5C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6BBFF86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3EAAAA0B"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EF9"/>
            <w:noWrap/>
            <w:vAlign w:val="bottom"/>
            <w:hideMark/>
          </w:tcPr>
          <w:p w14:paraId="344A3B3E"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11</w:t>
            </w:r>
          </w:p>
        </w:tc>
        <w:tc>
          <w:tcPr>
            <w:tcW w:w="524" w:type="pct"/>
            <w:tcBorders>
              <w:top w:val="nil"/>
              <w:left w:val="nil"/>
              <w:bottom w:val="nil"/>
              <w:right w:val="nil"/>
            </w:tcBorders>
            <w:shd w:val="clear" w:color="000000" w:fill="FFFDF5"/>
            <w:noWrap/>
            <w:vAlign w:val="bottom"/>
            <w:hideMark/>
          </w:tcPr>
          <w:p w14:paraId="1ECF8BCC"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19</w:t>
            </w:r>
          </w:p>
        </w:tc>
        <w:tc>
          <w:tcPr>
            <w:tcW w:w="524" w:type="pct"/>
            <w:tcBorders>
              <w:top w:val="nil"/>
              <w:left w:val="nil"/>
              <w:bottom w:val="nil"/>
              <w:right w:val="nil"/>
            </w:tcBorders>
            <w:shd w:val="clear" w:color="000000" w:fill="FEFCEE"/>
            <w:noWrap/>
            <w:vAlign w:val="bottom"/>
            <w:hideMark/>
          </w:tcPr>
          <w:p w14:paraId="1B32D58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30</w:t>
            </w:r>
          </w:p>
        </w:tc>
        <w:tc>
          <w:tcPr>
            <w:tcW w:w="538" w:type="pct"/>
            <w:tcBorders>
              <w:top w:val="nil"/>
              <w:left w:val="nil"/>
              <w:bottom w:val="nil"/>
              <w:right w:val="nil"/>
            </w:tcBorders>
            <w:shd w:val="clear" w:color="000000" w:fill="FDFAE6"/>
            <w:noWrap/>
            <w:vAlign w:val="bottom"/>
            <w:hideMark/>
          </w:tcPr>
          <w:p w14:paraId="083622F1"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45</w:t>
            </w:r>
          </w:p>
        </w:tc>
      </w:tr>
      <w:tr w:rsidR="00D64E87" w:rsidRPr="00627DA0" w14:paraId="6947C100" w14:textId="77777777" w:rsidTr="002B151F">
        <w:trPr>
          <w:trHeight w:val="270"/>
        </w:trPr>
        <w:tc>
          <w:tcPr>
            <w:tcW w:w="995" w:type="pct"/>
            <w:tcBorders>
              <w:top w:val="nil"/>
              <w:left w:val="nil"/>
              <w:bottom w:val="nil"/>
              <w:right w:val="nil"/>
            </w:tcBorders>
            <w:noWrap/>
            <w:vAlign w:val="bottom"/>
            <w:hideMark/>
          </w:tcPr>
          <w:p w14:paraId="00C1105C"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Motors</w:t>
            </w:r>
          </w:p>
        </w:tc>
        <w:tc>
          <w:tcPr>
            <w:tcW w:w="694" w:type="pct"/>
            <w:tcBorders>
              <w:top w:val="nil"/>
              <w:left w:val="nil"/>
              <w:bottom w:val="nil"/>
              <w:right w:val="nil"/>
            </w:tcBorders>
            <w:shd w:val="clear" w:color="000000" w:fill="FFFFFF"/>
            <w:noWrap/>
            <w:vAlign w:val="bottom"/>
            <w:hideMark/>
          </w:tcPr>
          <w:p w14:paraId="099D488E"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71F52CB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65C1C94D"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56547C97"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023CA31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6B499B52"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38" w:type="pct"/>
            <w:tcBorders>
              <w:top w:val="nil"/>
              <w:left w:val="nil"/>
              <w:bottom w:val="nil"/>
              <w:right w:val="nil"/>
            </w:tcBorders>
            <w:shd w:val="clear" w:color="000000" w:fill="FFFFFF"/>
            <w:noWrap/>
            <w:vAlign w:val="bottom"/>
            <w:hideMark/>
          </w:tcPr>
          <w:p w14:paraId="01D87D33"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r>
      <w:tr w:rsidR="00D64E87" w:rsidRPr="00627DA0" w14:paraId="3D8875F2" w14:textId="77777777" w:rsidTr="002B151F">
        <w:trPr>
          <w:trHeight w:val="270"/>
        </w:trPr>
        <w:tc>
          <w:tcPr>
            <w:tcW w:w="995" w:type="pct"/>
            <w:tcBorders>
              <w:top w:val="nil"/>
              <w:left w:val="nil"/>
              <w:bottom w:val="nil"/>
              <w:right w:val="nil"/>
            </w:tcBorders>
            <w:noWrap/>
            <w:vAlign w:val="bottom"/>
            <w:hideMark/>
          </w:tcPr>
          <w:p w14:paraId="00C4150B"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Refrigeration</w:t>
            </w:r>
          </w:p>
        </w:tc>
        <w:tc>
          <w:tcPr>
            <w:tcW w:w="694" w:type="pct"/>
            <w:tcBorders>
              <w:top w:val="nil"/>
              <w:left w:val="nil"/>
              <w:bottom w:val="nil"/>
              <w:right w:val="nil"/>
            </w:tcBorders>
            <w:shd w:val="clear" w:color="000000" w:fill="FFFFFF"/>
            <w:noWrap/>
            <w:vAlign w:val="bottom"/>
            <w:hideMark/>
          </w:tcPr>
          <w:p w14:paraId="7D67EAA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CF6D0"/>
            <w:noWrap/>
            <w:vAlign w:val="bottom"/>
            <w:hideMark/>
          </w:tcPr>
          <w:p w14:paraId="16A240EC"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82</w:t>
            </w:r>
          </w:p>
        </w:tc>
        <w:tc>
          <w:tcPr>
            <w:tcW w:w="498" w:type="pct"/>
            <w:tcBorders>
              <w:top w:val="nil"/>
              <w:left w:val="nil"/>
              <w:bottom w:val="nil"/>
              <w:right w:val="nil"/>
            </w:tcBorders>
            <w:shd w:val="clear" w:color="000000" w:fill="FFFFFF"/>
            <w:noWrap/>
            <w:vAlign w:val="bottom"/>
            <w:hideMark/>
          </w:tcPr>
          <w:p w14:paraId="69A14F8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6C761922"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w:t>
            </w:r>
          </w:p>
        </w:tc>
        <w:tc>
          <w:tcPr>
            <w:tcW w:w="524" w:type="pct"/>
            <w:tcBorders>
              <w:top w:val="nil"/>
              <w:left w:val="nil"/>
              <w:bottom w:val="nil"/>
              <w:right w:val="nil"/>
            </w:tcBorders>
            <w:shd w:val="clear" w:color="000000" w:fill="FFFFFE"/>
            <w:noWrap/>
            <w:vAlign w:val="bottom"/>
            <w:hideMark/>
          </w:tcPr>
          <w:p w14:paraId="09AF14AE"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3</w:t>
            </w:r>
          </w:p>
        </w:tc>
        <w:tc>
          <w:tcPr>
            <w:tcW w:w="524" w:type="pct"/>
            <w:tcBorders>
              <w:top w:val="nil"/>
              <w:left w:val="nil"/>
              <w:bottom w:val="nil"/>
              <w:right w:val="nil"/>
            </w:tcBorders>
            <w:shd w:val="clear" w:color="000000" w:fill="FFFFFC"/>
            <w:noWrap/>
            <w:vAlign w:val="bottom"/>
            <w:hideMark/>
          </w:tcPr>
          <w:p w14:paraId="1CB91D4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6</w:t>
            </w:r>
          </w:p>
        </w:tc>
        <w:tc>
          <w:tcPr>
            <w:tcW w:w="538" w:type="pct"/>
            <w:tcBorders>
              <w:top w:val="nil"/>
              <w:left w:val="nil"/>
              <w:bottom w:val="nil"/>
              <w:right w:val="nil"/>
            </w:tcBorders>
            <w:shd w:val="clear" w:color="000000" w:fill="FFFEFA"/>
            <w:noWrap/>
            <w:vAlign w:val="bottom"/>
            <w:hideMark/>
          </w:tcPr>
          <w:p w14:paraId="04A4B38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10</w:t>
            </w:r>
          </w:p>
        </w:tc>
      </w:tr>
      <w:tr w:rsidR="00D64E87" w:rsidRPr="00627DA0" w14:paraId="5CFF0CD7" w14:textId="77777777" w:rsidTr="002B151F">
        <w:trPr>
          <w:trHeight w:val="270"/>
        </w:trPr>
        <w:tc>
          <w:tcPr>
            <w:tcW w:w="995" w:type="pct"/>
            <w:tcBorders>
              <w:top w:val="nil"/>
              <w:left w:val="nil"/>
              <w:bottom w:val="nil"/>
              <w:right w:val="nil"/>
            </w:tcBorders>
            <w:noWrap/>
            <w:vAlign w:val="bottom"/>
            <w:hideMark/>
          </w:tcPr>
          <w:p w14:paraId="3721A353"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Process</w:t>
            </w:r>
          </w:p>
        </w:tc>
        <w:tc>
          <w:tcPr>
            <w:tcW w:w="694" w:type="pct"/>
            <w:tcBorders>
              <w:top w:val="nil"/>
              <w:left w:val="nil"/>
              <w:bottom w:val="nil"/>
              <w:right w:val="nil"/>
            </w:tcBorders>
            <w:shd w:val="clear" w:color="000000" w:fill="FFFFFF"/>
            <w:noWrap/>
            <w:vAlign w:val="bottom"/>
            <w:hideMark/>
          </w:tcPr>
          <w:p w14:paraId="20837BE6"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6F34EABD"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5C1E39BD"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0E99E2D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40A07AD8"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67958C67"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c>
          <w:tcPr>
            <w:tcW w:w="538" w:type="pct"/>
            <w:tcBorders>
              <w:top w:val="nil"/>
              <w:left w:val="nil"/>
              <w:bottom w:val="nil"/>
              <w:right w:val="nil"/>
            </w:tcBorders>
            <w:shd w:val="clear" w:color="000000" w:fill="FFFFFF"/>
            <w:noWrap/>
            <w:vAlign w:val="bottom"/>
            <w:hideMark/>
          </w:tcPr>
          <w:p w14:paraId="6F3846BF"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w:t>
            </w:r>
          </w:p>
        </w:tc>
      </w:tr>
      <w:tr w:rsidR="00D64E87" w:rsidRPr="00627DA0" w14:paraId="6D44A2B9" w14:textId="77777777" w:rsidTr="002B151F">
        <w:trPr>
          <w:trHeight w:val="270"/>
        </w:trPr>
        <w:tc>
          <w:tcPr>
            <w:tcW w:w="995" w:type="pct"/>
            <w:tcBorders>
              <w:top w:val="nil"/>
              <w:left w:val="nil"/>
              <w:bottom w:val="nil"/>
              <w:right w:val="nil"/>
            </w:tcBorders>
            <w:noWrap/>
            <w:vAlign w:val="bottom"/>
            <w:hideMark/>
          </w:tcPr>
          <w:p w14:paraId="3F9C6CE5"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Pumps</w:t>
            </w:r>
          </w:p>
        </w:tc>
        <w:tc>
          <w:tcPr>
            <w:tcW w:w="694" w:type="pct"/>
            <w:tcBorders>
              <w:top w:val="nil"/>
              <w:left w:val="nil"/>
              <w:bottom w:val="nil"/>
              <w:right w:val="nil"/>
            </w:tcBorders>
            <w:shd w:val="clear" w:color="000000" w:fill="FFFFFF"/>
            <w:noWrap/>
            <w:vAlign w:val="bottom"/>
            <w:hideMark/>
          </w:tcPr>
          <w:p w14:paraId="6F0A706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7E86BF6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126A0E91"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E"/>
            <w:noWrap/>
            <w:vAlign w:val="bottom"/>
            <w:hideMark/>
          </w:tcPr>
          <w:p w14:paraId="09BD880D"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2</w:t>
            </w:r>
          </w:p>
        </w:tc>
        <w:tc>
          <w:tcPr>
            <w:tcW w:w="524" w:type="pct"/>
            <w:tcBorders>
              <w:top w:val="nil"/>
              <w:left w:val="nil"/>
              <w:bottom w:val="nil"/>
              <w:right w:val="nil"/>
            </w:tcBorders>
            <w:shd w:val="clear" w:color="000000" w:fill="FFFFFD"/>
            <w:noWrap/>
            <w:vAlign w:val="bottom"/>
            <w:hideMark/>
          </w:tcPr>
          <w:p w14:paraId="4719171D"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4</w:t>
            </w:r>
          </w:p>
        </w:tc>
        <w:tc>
          <w:tcPr>
            <w:tcW w:w="524" w:type="pct"/>
            <w:tcBorders>
              <w:top w:val="nil"/>
              <w:left w:val="nil"/>
              <w:bottom w:val="nil"/>
              <w:right w:val="nil"/>
            </w:tcBorders>
            <w:shd w:val="clear" w:color="000000" w:fill="FFFFFC"/>
            <w:noWrap/>
            <w:vAlign w:val="bottom"/>
            <w:hideMark/>
          </w:tcPr>
          <w:p w14:paraId="28989CD0"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7</w:t>
            </w:r>
          </w:p>
        </w:tc>
        <w:tc>
          <w:tcPr>
            <w:tcW w:w="538" w:type="pct"/>
            <w:tcBorders>
              <w:top w:val="nil"/>
              <w:left w:val="nil"/>
              <w:bottom w:val="nil"/>
              <w:right w:val="nil"/>
            </w:tcBorders>
            <w:shd w:val="clear" w:color="000000" w:fill="FFFEF9"/>
            <w:noWrap/>
            <w:vAlign w:val="bottom"/>
            <w:hideMark/>
          </w:tcPr>
          <w:p w14:paraId="01C492E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11</w:t>
            </w:r>
          </w:p>
        </w:tc>
      </w:tr>
      <w:tr w:rsidR="00D64E87" w:rsidRPr="00627DA0" w14:paraId="382B1E0E" w14:textId="77777777" w:rsidTr="002B151F">
        <w:trPr>
          <w:trHeight w:val="270"/>
        </w:trPr>
        <w:tc>
          <w:tcPr>
            <w:tcW w:w="995" w:type="pct"/>
            <w:tcBorders>
              <w:top w:val="nil"/>
              <w:left w:val="nil"/>
              <w:bottom w:val="nil"/>
              <w:right w:val="nil"/>
            </w:tcBorders>
            <w:noWrap/>
            <w:vAlign w:val="bottom"/>
            <w:hideMark/>
          </w:tcPr>
          <w:p w14:paraId="7D23883E" w14:textId="77777777" w:rsidR="00D64E87" w:rsidRPr="00627DA0" w:rsidRDefault="00D64E87" w:rsidP="002B151F">
            <w:pPr>
              <w:spacing w:after="0" w:line="240" w:lineRule="auto"/>
              <w:jc w:val="left"/>
              <w:rPr>
                <w:rFonts w:eastAsia="Times New Roman" w:cs="Calibri"/>
                <w:color w:val="000000"/>
                <w:sz w:val="20"/>
                <w:szCs w:val="20"/>
              </w:rPr>
            </w:pPr>
            <w:r w:rsidRPr="00627DA0">
              <w:rPr>
                <w:rFonts w:eastAsia="Times New Roman" w:cs="Calibri"/>
                <w:color w:val="000000"/>
                <w:sz w:val="20"/>
                <w:szCs w:val="20"/>
              </w:rPr>
              <w:t>Other</w:t>
            </w:r>
          </w:p>
        </w:tc>
        <w:tc>
          <w:tcPr>
            <w:tcW w:w="694" w:type="pct"/>
            <w:tcBorders>
              <w:top w:val="nil"/>
              <w:left w:val="nil"/>
              <w:bottom w:val="nil"/>
              <w:right w:val="nil"/>
            </w:tcBorders>
            <w:shd w:val="clear" w:color="000000" w:fill="FFFFFF"/>
            <w:noWrap/>
            <w:vAlign w:val="bottom"/>
            <w:hideMark/>
          </w:tcPr>
          <w:p w14:paraId="572EBF2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700" w:type="pct"/>
            <w:tcBorders>
              <w:top w:val="nil"/>
              <w:left w:val="nil"/>
              <w:bottom w:val="nil"/>
              <w:right w:val="nil"/>
            </w:tcBorders>
            <w:shd w:val="clear" w:color="000000" w:fill="FFFFFF"/>
            <w:noWrap/>
            <w:vAlign w:val="bottom"/>
            <w:hideMark/>
          </w:tcPr>
          <w:p w14:paraId="376885DA"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498" w:type="pct"/>
            <w:tcBorders>
              <w:top w:val="nil"/>
              <w:left w:val="nil"/>
              <w:bottom w:val="nil"/>
              <w:right w:val="nil"/>
            </w:tcBorders>
            <w:shd w:val="clear" w:color="000000" w:fill="FFFFFF"/>
            <w:noWrap/>
            <w:vAlign w:val="bottom"/>
            <w:hideMark/>
          </w:tcPr>
          <w:p w14:paraId="3FE3BCA2"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w:t>
            </w:r>
          </w:p>
        </w:tc>
        <w:tc>
          <w:tcPr>
            <w:tcW w:w="526" w:type="pct"/>
            <w:tcBorders>
              <w:top w:val="nil"/>
              <w:left w:val="single" w:sz="4" w:space="0" w:color="auto"/>
              <w:bottom w:val="nil"/>
              <w:right w:val="nil"/>
            </w:tcBorders>
            <w:shd w:val="clear" w:color="000000" w:fill="FFFFFF"/>
            <w:noWrap/>
            <w:vAlign w:val="bottom"/>
            <w:hideMark/>
          </w:tcPr>
          <w:p w14:paraId="1EC874C9"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0B350602"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24" w:type="pct"/>
            <w:tcBorders>
              <w:top w:val="nil"/>
              <w:left w:val="nil"/>
              <w:bottom w:val="nil"/>
              <w:right w:val="nil"/>
            </w:tcBorders>
            <w:shd w:val="clear" w:color="000000" w:fill="FFFFFF"/>
            <w:noWrap/>
            <w:vAlign w:val="bottom"/>
            <w:hideMark/>
          </w:tcPr>
          <w:p w14:paraId="0C343D0B"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c>
          <w:tcPr>
            <w:tcW w:w="538" w:type="pct"/>
            <w:tcBorders>
              <w:top w:val="nil"/>
              <w:left w:val="nil"/>
              <w:bottom w:val="nil"/>
              <w:right w:val="nil"/>
            </w:tcBorders>
            <w:shd w:val="clear" w:color="000000" w:fill="FFFFFF"/>
            <w:noWrap/>
            <w:vAlign w:val="bottom"/>
            <w:hideMark/>
          </w:tcPr>
          <w:p w14:paraId="4B1678F5" w14:textId="77777777" w:rsidR="00D64E87" w:rsidRPr="00627DA0" w:rsidRDefault="00D64E87" w:rsidP="002B151F">
            <w:pPr>
              <w:spacing w:after="0" w:line="240" w:lineRule="auto"/>
              <w:jc w:val="right"/>
              <w:rPr>
                <w:rFonts w:eastAsia="Times New Roman" w:cs="Calibri"/>
                <w:color w:val="000000"/>
                <w:sz w:val="20"/>
                <w:szCs w:val="20"/>
              </w:rPr>
            </w:pPr>
            <w:r w:rsidRPr="00627DA0">
              <w:rPr>
                <w:rFonts w:eastAsia="Times New Roman" w:cs="Calibri"/>
                <w:color w:val="000000"/>
                <w:sz w:val="20"/>
                <w:szCs w:val="20"/>
              </w:rPr>
              <w:t>0</w:t>
            </w:r>
          </w:p>
        </w:tc>
      </w:tr>
      <w:tr w:rsidR="00D64E87" w:rsidRPr="00627DA0" w14:paraId="795CEB93" w14:textId="77777777" w:rsidTr="002B151F">
        <w:trPr>
          <w:trHeight w:val="285"/>
        </w:trPr>
        <w:tc>
          <w:tcPr>
            <w:tcW w:w="995" w:type="pct"/>
            <w:tcBorders>
              <w:top w:val="single" w:sz="4" w:space="0" w:color="auto"/>
              <w:left w:val="nil"/>
              <w:bottom w:val="single" w:sz="8" w:space="0" w:color="auto"/>
              <w:right w:val="nil"/>
            </w:tcBorders>
            <w:noWrap/>
            <w:vAlign w:val="bottom"/>
            <w:hideMark/>
          </w:tcPr>
          <w:p w14:paraId="692CCAC3" w14:textId="77777777" w:rsidR="00D64E87" w:rsidRPr="00627DA0" w:rsidRDefault="00D64E87" w:rsidP="002B151F">
            <w:pPr>
              <w:spacing w:after="0" w:line="240" w:lineRule="auto"/>
              <w:jc w:val="left"/>
              <w:rPr>
                <w:rFonts w:eastAsia="Times New Roman" w:cs="Calibri"/>
                <w:b/>
                <w:bCs/>
                <w:color w:val="000000"/>
                <w:sz w:val="20"/>
                <w:szCs w:val="20"/>
              </w:rPr>
            </w:pPr>
            <w:r w:rsidRPr="00627DA0">
              <w:rPr>
                <w:rFonts w:eastAsia="Times New Roman" w:cs="Calibri"/>
                <w:b/>
                <w:bCs/>
                <w:color w:val="000000"/>
                <w:sz w:val="20"/>
                <w:szCs w:val="20"/>
              </w:rPr>
              <w:t>Total</w:t>
            </w:r>
          </w:p>
        </w:tc>
        <w:tc>
          <w:tcPr>
            <w:tcW w:w="694" w:type="pct"/>
            <w:tcBorders>
              <w:top w:val="single" w:sz="4" w:space="0" w:color="auto"/>
              <w:left w:val="nil"/>
              <w:bottom w:val="single" w:sz="8" w:space="0" w:color="auto"/>
              <w:right w:val="nil"/>
            </w:tcBorders>
            <w:noWrap/>
            <w:vAlign w:val="bottom"/>
            <w:hideMark/>
          </w:tcPr>
          <w:p w14:paraId="766B8636"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37</w:t>
            </w:r>
          </w:p>
        </w:tc>
        <w:tc>
          <w:tcPr>
            <w:tcW w:w="700" w:type="pct"/>
            <w:tcBorders>
              <w:top w:val="single" w:sz="4" w:space="0" w:color="auto"/>
              <w:left w:val="nil"/>
              <w:bottom w:val="single" w:sz="8" w:space="0" w:color="auto"/>
              <w:right w:val="nil"/>
            </w:tcBorders>
            <w:noWrap/>
            <w:vAlign w:val="bottom"/>
            <w:hideMark/>
          </w:tcPr>
          <w:p w14:paraId="1608AAA0"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82</w:t>
            </w:r>
          </w:p>
        </w:tc>
        <w:tc>
          <w:tcPr>
            <w:tcW w:w="498" w:type="pct"/>
            <w:tcBorders>
              <w:top w:val="single" w:sz="4" w:space="0" w:color="auto"/>
              <w:left w:val="nil"/>
              <w:bottom w:val="single" w:sz="8" w:space="0" w:color="auto"/>
              <w:right w:val="nil"/>
            </w:tcBorders>
            <w:noWrap/>
            <w:vAlign w:val="bottom"/>
            <w:hideMark/>
          </w:tcPr>
          <w:p w14:paraId="658669E7"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w:t>
            </w:r>
          </w:p>
        </w:tc>
        <w:tc>
          <w:tcPr>
            <w:tcW w:w="526" w:type="pct"/>
            <w:tcBorders>
              <w:top w:val="single" w:sz="4" w:space="0" w:color="auto"/>
              <w:left w:val="single" w:sz="4" w:space="0" w:color="auto"/>
              <w:bottom w:val="single" w:sz="8" w:space="0" w:color="auto"/>
              <w:right w:val="nil"/>
            </w:tcBorders>
            <w:noWrap/>
            <w:vAlign w:val="bottom"/>
            <w:hideMark/>
          </w:tcPr>
          <w:p w14:paraId="7099C271"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22</w:t>
            </w:r>
          </w:p>
        </w:tc>
        <w:tc>
          <w:tcPr>
            <w:tcW w:w="524" w:type="pct"/>
            <w:tcBorders>
              <w:top w:val="single" w:sz="4" w:space="0" w:color="auto"/>
              <w:left w:val="nil"/>
              <w:bottom w:val="single" w:sz="8" w:space="0" w:color="auto"/>
              <w:right w:val="nil"/>
            </w:tcBorders>
            <w:noWrap/>
            <w:vAlign w:val="bottom"/>
            <w:hideMark/>
          </w:tcPr>
          <w:p w14:paraId="55C56F19"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42</w:t>
            </w:r>
          </w:p>
        </w:tc>
        <w:tc>
          <w:tcPr>
            <w:tcW w:w="524" w:type="pct"/>
            <w:tcBorders>
              <w:top w:val="single" w:sz="4" w:space="0" w:color="auto"/>
              <w:left w:val="nil"/>
              <w:bottom w:val="single" w:sz="8" w:space="0" w:color="auto"/>
              <w:right w:val="nil"/>
            </w:tcBorders>
            <w:noWrap/>
            <w:vAlign w:val="bottom"/>
            <w:hideMark/>
          </w:tcPr>
          <w:p w14:paraId="1243EA47"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72</w:t>
            </w:r>
          </w:p>
        </w:tc>
        <w:tc>
          <w:tcPr>
            <w:tcW w:w="538" w:type="pct"/>
            <w:tcBorders>
              <w:top w:val="single" w:sz="4" w:space="0" w:color="auto"/>
              <w:left w:val="nil"/>
              <w:bottom w:val="single" w:sz="8" w:space="0" w:color="auto"/>
              <w:right w:val="nil"/>
            </w:tcBorders>
            <w:noWrap/>
            <w:vAlign w:val="bottom"/>
            <w:hideMark/>
          </w:tcPr>
          <w:p w14:paraId="527F5140" w14:textId="77777777" w:rsidR="00D64E87" w:rsidRPr="00627DA0" w:rsidRDefault="00D64E87" w:rsidP="002B151F">
            <w:pPr>
              <w:spacing w:after="0" w:line="240" w:lineRule="auto"/>
              <w:jc w:val="right"/>
              <w:rPr>
                <w:rFonts w:eastAsia="Times New Roman" w:cs="Calibri"/>
                <w:b/>
                <w:bCs/>
                <w:color w:val="000000"/>
                <w:sz w:val="20"/>
                <w:szCs w:val="20"/>
              </w:rPr>
            </w:pPr>
            <w:r w:rsidRPr="00627DA0">
              <w:rPr>
                <w:rFonts w:eastAsia="Times New Roman" w:cs="Calibri"/>
                <w:b/>
                <w:bCs/>
                <w:color w:val="000000"/>
                <w:sz w:val="20"/>
                <w:szCs w:val="20"/>
              </w:rPr>
              <w:t>114</w:t>
            </w:r>
          </w:p>
        </w:tc>
      </w:tr>
    </w:tbl>
    <w:p w14:paraId="7CC652BF" w14:textId="77777777" w:rsidR="00D64E87" w:rsidRPr="00627DA0" w:rsidRDefault="00D64E87" w:rsidP="00D64E87"/>
    <w:p w14:paraId="5F615C66" w14:textId="77777777" w:rsidR="00D64E87" w:rsidRPr="00627DA0" w:rsidRDefault="00D64E87" w:rsidP="00D64E87">
      <w:pPr>
        <w:pStyle w:val="Heading3"/>
      </w:pPr>
      <w:r w:rsidRPr="00627DA0">
        <w:t>Utility Distribution System</w:t>
      </w:r>
    </w:p>
    <w:p w14:paraId="3522AE5D" w14:textId="77777777" w:rsidR="00D64E87" w:rsidRPr="00627DA0" w:rsidRDefault="00D64E87" w:rsidP="00D64E87">
      <w:r w:rsidRPr="00627DA0">
        <w:t xml:space="preserve">The potential in the utility distribution system is from conservation voltage reduction (CVR), where system voltages are lowered while remaining within required ranges. The potential in this sector is </w:t>
      </w:r>
      <w:r w:rsidRPr="00627DA0">
        <w:lastRenderedPageBreak/>
        <w:t>limited compared to other sectors. In addition, the 2021 Power Plan assumes that the potential in this sector will be acquired slowly. While Inland Power has recently completed reconductoring projects, these are not shown in the table below since the CPA only included measures related to CVR.</w:t>
      </w:r>
    </w:p>
    <w:p w14:paraId="0E88028D" w14:textId="05A744C1" w:rsidR="00D64E87" w:rsidRPr="00627DA0" w:rsidRDefault="00D64E87" w:rsidP="00D64E87">
      <w:pPr>
        <w:pStyle w:val="Caption"/>
      </w:pPr>
      <w:bookmarkStart w:id="189" w:name="_Toc207870757"/>
      <w:r w:rsidRPr="00627DA0">
        <w:t xml:space="preserve">Table </w:t>
      </w:r>
      <w:fldSimple w:instr=" SEQ Table \* ARABIC ">
        <w:r w:rsidR="00431297" w:rsidRPr="00627DA0">
          <w:t>28</w:t>
        </w:r>
      </w:fldSimple>
      <w:r w:rsidRPr="00627DA0">
        <w:t>: Alignment of Distribution System Program History and Potential by End Use (MWh)</w:t>
      </w:r>
      <w:bookmarkEnd w:id="189"/>
    </w:p>
    <w:tbl>
      <w:tblPr>
        <w:tblW w:w="5000" w:type="pct"/>
        <w:tblLook w:val="04A0" w:firstRow="1" w:lastRow="0" w:firstColumn="1" w:lastColumn="0" w:noHBand="0" w:noVBand="1"/>
      </w:tblPr>
      <w:tblGrid>
        <w:gridCol w:w="1921"/>
        <w:gridCol w:w="1067"/>
        <w:gridCol w:w="1067"/>
        <w:gridCol w:w="1067"/>
        <w:gridCol w:w="1065"/>
        <w:gridCol w:w="1069"/>
        <w:gridCol w:w="1065"/>
        <w:gridCol w:w="505"/>
        <w:gridCol w:w="534"/>
      </w:tblGrid>
      <w:tr w:rsidR="00D64E87" w:rsidRPr="00627DA0" w14:paraId="251644F9" w14:textId="77777777" w:rsidTr="002B151F">
        <w:trPr>
          <w:trHeight w:val="315"/>
        </w:trPr>
        <w:tc>
          <w:tcPr>
            <w:tcW w:w="1026" w:type="pct"/>
            <w:tcBorders>
              <w:top w:val="single" w:sz="8" w:space="0" w:color="auto"/>
              <w:left w:val="nil"/>
              <w:bottom w:val="single" w:sz="8" w:space="0" w:color="auto"/>
              <w:right w:val="nil"/>
            </w:tcBorders>
            <w:shd w:val="clear" w:color="000000" w:fill="44546A"/>
            <w:noWrap/>
            <w:vAlign w:val="bottom"/>
            <w:hideMark/>
          </w:tcPr>
          <w:p w14:paraId="12D689C2" w14:textId="77777777" w:rsidR="00D64E87" w:rsidRPr="00627DA0" w:rsidRDefault="00D64E87" w:rsidP="002B151F">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 </w:t>
            </w:r>
          </w:p>
        </w:tc>
        <w:tc>
          <w:tcPr>
            <w:tcW w:w="570" w:type="pct"/>
            <w:tcBorders>
              <w:top w:val="single" w:sz="8" w:space="0" w:color="auto"/>
              <w:left w:val="nil"/>
              <w:bottom w:val="single" w:sz="8" w:space="0" w:color="auto"/>
              <w:right w:val="nil"/>
            </w:tcBorders>
            <w:shd w:val="clear" w:color="000000" w:fill="44546A"/>
          </w:tcPr>
          <w:p w14:paraId="4B6F833C" w14:textId="77777777" w:rsidR="00D64E87" w:rsidRPr="00627DA0" w:rsidRDefault="00D64E87" w:rsidP="002B151F">
            <w:pPr>
              <w:spacing w:after="0" w:line="240" w:lineRule="auto"/>
              <w:jc w:val="center"/>
              <w:rPr>
                <w:rFonts w:eastAsia="Times New Roman" w:cs="Calibri"/>
                <w:b/>
                <w:bCs/>
                <w:color w:val="FFFFFF"/>
                <w:sz w:val="20"/>
                <w:szCs w:val="20"/>
              </w:rPr>
            </w:pPr>
          </w:p>
        </w:tc>
        <w:tc>
          <w:tcPr>
            <w:tcW w:w="1140" w:type="pct"/>
            <w:gridSpan w:val="2"/>
            <w:tcBorders>
              <w:top w:val="single" w:sz="8" w:space="0" w:color="auto"/>
              <w:left w:val="nil"/>
              <w:bottom w:val="single" w:sz="8" w:space="0" w:color="auto"/>
              <w:right w:val="single" w:sz="4" w:space="0" w:color="000000"/>
            </w:tcBorders>
            <w:shd w:val="clear" w:color="000000" w:fill="44546A"/>
            <w:noWrap/>
            <w:vAlign w:val="bottom"/>
            <w:hideMark/>
          </w:tcPr>
          <w:p w14:paraId="100A71A3" w14:textId="77777777" w:rsidR="00D64E87" w:rsidRPr="00627DA0" w:rsidRDefault="00D64E87" w:rsidP="002B151F">
            <w:pPr>
              <w:spacing w:after="0" w:line="240" w:lineRule="auto"/>
              <w:jc w:val="center"/>
              <w:rPr>
                <w:rFonts w:eastAsia="Times New Roman" w:cs="Calibri"/>
                <w:b/>
                <w:bCs/>
                <w:color w:val="FFFFFF"/>
                <w:sz w:val="20"/>
                <w:szCs w:val="20"/>
              </w:rPr>
            </w:pPr>
            <w:r w:rsidRPr="00627DA0">
              <w:rPr>
                <w:rFonts w:eastAsia="Times New Roman" w:cs="Calibri"/>
                <w:b/>
                <w:bCs/>
                <w:color w:val="FFFFFF"/>
                <w:sz w:val="20"/>
                <w:szCs w:val="20"/>
              </w:rPr>
              <w:t>Program History</w:t>
            </w:r>
          </w:p>
        </w:tc>
        <w:tc>
          <w:tcPr>
            <w:tcW w:w="1979" w:type="pct"/>
            <w:gridSpan w:val="4"/>
            <w:tcBorders>
              <w:top w:val="single" w:sz="8" w:space="0" w:color="auto"/>
              <w:left w:val="nil"/>
              <w:bottom w:val="single" w:sz="8" w:space="0" w:color="auto"/>
              <w:right w:val="nil"/>
            </w:tcBorders>
            <w:shd w:val="clear" w:color="000000" w:fill="44546A"/>
            <w:noWrap/>
            <w:vAlign w:val="bottom"/>
            <w:hideMark/>
          </w:tcPr>
          <w:p w14:paraId="7BB62FB6" w14:textId="77777777" w:rsidR="00D64E87" w:rsidRPr="00627DA0" w:rsidRDefault="00D64E87" w:rsidP="002B151F">
            <w:pPr>
              <w:spacing w:after="0" w:line="240" w:lineRule="auto"/>
              <w:jc w:val="center"/>
              <w:rPr>
                <w:rFonts w:eastAsia="Times New Roman" w:cs="Calibri"/>
                <w:b/>
                <w:bCs/>
                <w:color w:val="FFFFFF"/>
                <w:sz w:val="20"/>
                <w:szCs w:val="20"/>
              </w:rPr>
            </w:pPr>
            <w:r w:rsidRPr="00627DA0">
              <w:rPr>
                <w:rFonts w:eastAsia="Times New Roman" w:cs="Calibri"/>
                <w:b/>
                <w:bCs/>
                <w:color w:val="FFFFFF"/>
                <w:sz w:val="20"/>
                <w:szCs w:val="20"/>
              </w:rPr>
              <w:t>CPA Cost-Effective Potential</w:t>
            </w:r>
          </w:p>
        </w:tc>
        <w:tc>
          <w:tcPr>
            <w:tcW w:w="286" w:type="pct"/>
            <w:tcBorders>
              <w:top w:val="single" w:sz="8" w:space="0" w:color="auto"/>
              <w:left w:val="nil"/>
              <w:bottom w:val="single" w:sz="8" w:space="0" w:color="auto"/>
              <w:right w:val="nil"/>
            </w:tcBorders>
            <w:shd w:val="clear" w:color="000000" w:fill="44546A"/>
            <w:noWrap/>
            <w:vAlign w:val="bottom"/>
            <w:hideMark/>
          </w:tcPr>
          <w:p w14:paraId="17514D7C" w14:textId="77777777" w:rsidR="00D64E87" w:rsidRPr="00627DA0" w:rsidRDefault="00D64E87" w:rsidP="002B151F">
            <w:pPr>
              <w:spacing w:after="0" w:line="240" w:lineRule="auto"/>
              <w:jc w:val="left"/>
              <w:rPr>
                <w:rFonts w:eastAsia="Times New Roman" w:cs="Calibri"/>
                <w:b/>
                <w:bCs/>
                <w:color w:val="FFFFFF"/>
                <w:sz w:val="20"/>
                <w:szCs w:val="20"/>
              </w:rPr>
            </w:pPr>
          </w:p>
        </w:tc>
      </w:tr>
      <w:tr w:rsidR="00D64E87" w:rsidRPr="00627DA0" w14:paraId="3DA4A10D" w14:textId="77777777" w:rsidTr="002B151F">
        <w:trPr>
          <w:trHeight w:val="315"/>
        </w:trPr>
        <w:tc>
          <w:tcPr>
            <w:tcW w:w="1026" w:type="pct"/>
            <w:tcBorders>
              <w:top w:val="nil"/>
              <w:left w:val="nil"/>
              <w:bottom w:val="single" w:sz="8" w:space="0" w:color="auto"/>
              <w:right w:val="nil"/>
            </w:tcBorders>
            <w:shd w:val="clear" w:color="000000" w:fill="002C7C"/>
            <w:noWrap/>
            <w:vAlign w:val="bottom"/>
            <w:hideMark/>
          </w:tcPr>
          <w:p w14:paraId="6260BD67" w14:textId="77777777" w:rsidR="00D64E87" w:rsidRPr="00627DA0" w:rsidRDefault="00D64E87" w:rsidP="002B151F">
            <w:pPr>
              <w:spacing w:after="0" w:line="240" w:lineRule="auto"/>
              <w:jc w:val="left"/>
              <w:rPr>
                <w:rFonts w:eastAsia="Times New Roman" w:cs="Calibri"/>
                <w:b/>
                <w:bCs/>
                <w:color w:val="FFFFFF"/>
                <w:sz w:val="20"/>
                <w:szCs w:val="20"/>
              </w:rPr>
            </w:pPr>
            <w:r w:rsidRPr="00627DA0">
              <w:rPr>
                <w:rFonts w:eastAsia="Times New Roman" w:cs="Calibri"/>
                <w:b/>
                <w:bCs/>
                <w:color w:val="FFFFFF"/>
                <w:sz w:val="20"/>
                <w:szCs w:val="20"/>
              </w:rPr>
              <w:t>End Use</w:t>
            </w:r>
          </w:p>
        </w:tc>
        <w:tc>
          <w:tcPr>
            <w:tcW w:w="570" w:type="pct"/>
            <w:tcBorders>
              <w:top w:val="nil"/>
              <w:left w:val="nil"/>
              <w:bottom w:val="single" w:sz="8" w:space="0" w:color="auto"/>
              <w:right w:val="nil"/>
            </w:tcBorders>
            <w:shd w:val="clear" w:color="000000" w:fill="002C7C"/>
            <w:noWrap/>
            <w:vAlign w:val="bottom"/>
            <w:hideMark/>
          </w:tcPr>
          <w:p w14:paraId="344EF40E"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2022</w:t>
            </w:r>
          </w:p>
        </w:tc>
        <w:tc>
          <w:tcPr>
            <w:tcW w:w="570" w:type="pct"/>
            <w:tcBorders>
              <w:top w:val="nil"/>
              <w:left w:val="nil"/>
              <w:bottom w:val="single" w:sz="8" w:space="0" w:color="auto"/>
              <w:right w:val="nil"/>
            </w:tcBorders>
            <w:shd w:val="clear" w:color="000000" w:fill="002C7C"/>
            <w:vAlign w:val="bottom"/>
          </w:tcPr>
          <w:p w14:paraId="53F59C8B"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2023</w:t>
            </w:r>
          </w:p>
        </w:tc>
        <w:tc>
          <w:tcPr>
            <w:tcW w:w="570" w:type="pct"/>
            <w:tcBorders>
              <w:top w:val="nil"/>
              <w:left w:val="nil"/>
              <w:bottom w:val="single" w:sz="8" w:space="0" w:color="auto"/>
              <w:right w:val="nil"/>
            </w:tcBorders>
            <w:shd w:val="clear" w:color="000000" w:fill="002C7C"/>
            <w:noWrap/>
            <w:vAlign w:val="bottom"/>
            <w:hideMark/>
          </w:tcPr>
          <w:p w14:paraId="10836A13"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2024</w:t>
            </w:r>
          </w:p>
        </w:tc>
        <w:tc>
          <w:tcPr>
            <w:tcW w:w="569" w:type="pct"/>
            <w:tcBorders>
              <w:top w:val="nil"/>
              <w:left w:val="single" w:sz="8" w:space="0" w:color="auto"/>
              <w:bottom w:val="single" w:sz="8" w:space="0" w:color="auto"/>
              <w:right w:val="nil"/>
            </w:tcBorders>
            <w:shd w:val="clear" w:color="000000" w:fill="002C7C"/>
            <w:noWrap/>
            <w:vAlign w:val="bottom"/>
            <w:hideMark/>
          </w:tcPr>
          <w:p w14:paraId="1C890BC2"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2026</w:t>
            </w:r>
          </w:p>
        </w:tc>
        <w:tc>
          <w:tcPr>
            <w:tcW w:w="571" w:type="pct"/>
            <w:tcBorders>
              <w:top w:val="nil"/>
              <w:left w:val="nil"/>
              <w:bottom w:val="single" w:sz="8" w:space="0" w:color="auto"/>
              <w:right w:val="nil"/>
            </w:tcBorders>
            <w:shd w:val="clear" w:color="000000" w:fill="002C7C"/>
            <w:noWrap/>
            <w:vAlign w:val="bottom"/>
            <w:hideMark/>
          </w:tcPr>
          <w:p w14:paraId="5094D570"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2027</w:t>
            </w:r>
          </w:p>
        </w:tc>
        <w:tc>
          <w:tcPr>
            <w:tcW w:w="569" w:type="pct"/>
            <w:tcBorders>
              <w:top w:val="nil"/>
              <w:left w:val="nil"/>
              <w:bottom w:val="single" w:sz="8" w:space="0" w:color="auto"/>
              <w:right w:val="nil"/>
            </w:tcBorders>
            <w:shd w:val="clear" w:color="000000" w:fill="002C7C"/>
            <w:noWrap/>
            <w:vAlign w:val="bottom"/>
            <w:hideMark/>
          </w:tcPr>
          <w:p w14:paraId="78CCF9DC"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2028</w:t>
            </w:r>
          </w:p>
        </w:tc>
        <w:tc>
          <w:tcPr>
            <w:tcW w:w="556" w:type="pct"/>
            <w:gridSpan w:val="2"/>
            <w:tcBorders>
              <w:top w:val="nil"/>
              <w:left w:val="nil"/>
              <w:bottom w:val="single" w:sz="8" w:space="0" w:color="auto"/>
              <w:right w:val="nil"/>
            </w:tcBorders>
            <w:shd w:val="clear" w:color="000000" w:fill="002C7C"/>
            <w:noWrap/>
            <w:vAlign w:val="bottom"/>
            <w:hideMark/>
          </w:tcPr>
          <w:p w14:paraId="6A9A5465" w14:textId="77777777" w:rsidR="00D64E87" w:rsidRPr="00627DA0" w:rsidRDefault="00D64E87" w:rsidP="002B151F">
            <w:pPr>
              <w:spacing w:after="0" w:line="240" w:lineRule="auto"/>
              <w:jc w:val="right"/>
              <w:rPr>
                <w:rFonts w:eastAsia="Times New Roman" w:cs="Calibri"/>
                <w:b/>
                <w:bCs/>
                <w:color w:val="FFFFFF"/>
                <w:sz w:val="20"/>
                <w:szCs w:val="20"/>
              </w:rPr>
            </w:pPr>
            <w:r w:rsidRPr="00627DA0">
              <w:rPr>
                <w:rFonts w:eastAsia="Times New Roman" w:cs="Calibri"/>
                <w:b/>
                <w:bCs/>
                <w:color w:val="FFFFFF"/>
                <w:sz w:val="20"/>
                <w:szCs w:val="20"/>
              </w:rPr>
              <w:t>2029</w:t>
            </w:r>
          </w:p>
        </w:tc>
      </w:tr>
      <w:tr w:rsidR="00D64E87" w:rsidRPr="00627DA0" w14:paraId="7DDD3C81" w14:textId="77777777" w:rsidTr="002B151F">
        <w:trPr>
          <w:trHeight w:val="255"/>
        </w:trPr>
        <w:tc>
          <w:tcPr>
            <w:tcW w:w="1026" w:type="pct"/>
            <w:tcBorders>
              <w:top w:val="nil"/>
              <w:left w:val="nil"/>
              <w:bottom w:val="single" w:sz="4" w:space="0" w:color="auto"/>
              <w:right w:val="nil"/>
            </w:tcBorders>
            <w:noWrap/>
            <w:vAlign w:val="bottom"/>
            <w:hideMark/>
          </w:tcPr>
          <w:p w14:paraId="6FC33AF3" w14:textId="77777777" w:rsidR="00D64E87" w:rsidRPr="00627DA0" w:rsidRDefault="00D64E87" w:rsidP="002B151F">
            <w:pPr>
              <w:spacing w:after="0" w:line="240" w:lineRule="auto"/>
              <w:jc w:val="left"/>
              <w:rPr>
                <w:rFonts w:eastAsia="Times New Roman" w:cs="Arial"/>
                <w:color w:val="000000"/>
                <w:sz w:val="20"/>
                <w:szCs w:val="20"/>
              </w:rPr>
            </w:pPr>
            <w:r w:rsidRPr="00627DA0">
              <w:rPr>
                <w:rFonts w:eastAsia="Times New Roman" w:cs="Arial"/>
                <w:color w:val="000000"/>
                <w:sz w:val="20"/>
                <w:szCs w:val="20"/>
              </w:rPr>
              <w:t>Distribution System</w:t>
            </w:r>
          </w:p>
        </w:tc>
        <w:tc>
          <w:tcPr>
            <w:tcW w:w="570" w:type="pct"/>
            <w:tcBorders>
              <w:top w:val="nil"/>
              <w:left w:val="nil"/>
              <w:bottom w:val="single" w:sz="4" w:space="0" w:color="auto"/>
              <w:right w:val="nil"/>
            </w:tcBorders>
            <w:noWrap/>
            <w:vAlign w:val="bottom"/>
            <w:hideMark/>
          </w:tcPr>
          <w:p w14:paraId="2FB96434"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eastAsia="Times New Roman" w:cs="Arial"/>
                <w:color w:val="000000"/>
                <w:sz w:val="20"/>
                <w:szCs w:val="20"/>
              </w:rPr>
              <w:t>-</w:t>
            </w:r>
          </w:p>
        </w:tc>
        <w:tc>
          <w:tcPr>
            <w:tcW w:w="570" w:type="pct"/>
            <w:tcBorders>
              <w:top w:val="nil"/>
              <w:left w:val="nil"/>
              <w:bottom w:val="single" w:sz="4" w:space="0" w:color="auto"/>
              <w:right w:val="nil"/>
            </w:tcBorders>
            <w:vAlign w:val="bottom"/>
          </w:tcPr>
          <w:p w14:paraId="7645F654"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eastAsia="Times New Roman" w:cs="Arial"/>
                <w:color w:val="000000"/>
                <w:sz w:val="20"/>
                <w:szCs w:val="20"/>
              </w:rPr>
              <w:t>-</w:t>
            </w:r>
          </w:p>
        </w:tc>
        <w:tc>
          <w:tcPr>
            <w:tcW w:w="570" w:type="pct"/>
            <w:tcBorders>
              <w:top w:val="nil"/>
              <w:left w:val="nil"/>
              <w:bottom w:val="single" w:sz="4" w:space="0" w:color="auto"/>
              <w:right w:val="nil"/>
            </w:tcBorders>
            <w:noWrap/>
            <w:vAlign w:val="bottom"/>
            <w:hideMark/>
          </w:tcPr>
          <w:p w14:paraId="7507F3BE"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eastAsia="Times New Roman" w:cs="Arial"/>
                <w:color w:val="000000"/>
                <w:sz w:val="20"/>
                <w:szCs w:val="20"/>
              </w:rPr>
              <w:t>-</w:t>
            </w:r>
          </w:p>
        </w:tc>
        <w:tc>
          <w:tcPr>
            <w:tcW w:w="569" w:type="pct"/>
            <w:tcBorders>
              <w:top w:val="nil"/>
              <w:left w:val="nil"/>
              <w:bottom w:val="single" w:sz="4" w:space="0" w:color="auto"/>
              <w:right w:val="nil"/>
            </w:tcBorders>
            <w:noWrap/>
            <w:vAlign w:val="bottom"/>
            <w:hideMark/>
          </w:tcPr>
          <w:p w14:paraId="4D1EAA59"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cs="Arial"/>
                <w:color w:val="000000"/>
                <w:sz w:val="20"/>
                <w:szCs w:val="20"/>
              </w:rPr>
              <w:t>38</w:t>
            </w:r>
          </w:p>
        </w:tc>
        <w:tc>
          <w:tcPr>
            <w:tcW w:w="571" w:type="pct"/>
            <w:tcBorders>
              <w:top w:val="nil"/>
              <w:left w:val="nil"/>
              <w:bottom w:val="single" w:sz="4" w:space="0" w:color="auto"/>
              <w:right w:val="nil"/>
            </w:tcBorders>
            <w:noWrap/>
            <w:vAlign w:val="bottom"/>
            <w:hideMark/>
          </w:tcPr>
          <w:p w14:paraId="2C79E895"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cs="Arial"/>
                <w:color w:val="000000"/>
                <w:sz w:val="20"/>
                <w:szCs w:val="20"/>
              </w:rPr>
              <w:t>76</w:t>
            </w:r>
          </w:p>
        </w:tc>
        <w:tc>
          <w:tcPr>
            <w:tcW w:w="569" w:type="pct"/>
            <w:tcBorders>
              <w:top w:val="nil"/>
              <w:left w:val="nil"/>
              <w:bottom w:val="single" w:sz="4" w:space="0" w:color="auto"/>
              <w:right w:val="nil"/>
            </w:tcBorders>
            <w:noWrap/>
            <w:vAlign w:val="bottom"/>
            <w:hideMark/>
          </w:tcPr>
          <w:p w14:paraId="5BDC6435"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cs="Arial"/>
                <w:color w:val="000000"/>
                <w:sz w:val="20"/>
                <w:szCs w:val="20"/>
              </w:rPr>
              <w:t>136</w:t>
            </w:r>
          </w:p>
        </w:tc>
        <w:tc>
          <w:tcPr>
            <w:tcW w:w="556" w:type="pct"/>
            <w:gridSpan w:val="2"/>
            <w:tcBorders>
              <w:top w:val="nil"/>
              <w:left w:val="nil"/>
              <w:bottom w:val="single" w:sz="4" w:space="0" w:color="auto"/>
              <w:right w:val="nil"/>
            </w:tcBorders>
            <w:noWrap/>
            <w:vAlign w:val="bottom"/>
            <w:hideMark/>
          </w:tcPr>
          <w:p w14:paraId="30FD3B6B" w14:textId="77777777" w:rsidR="00D64E87" w:rsidRPr="00627DA0" w:rsidRDefault="00D64E87" w:rsidP="002B151F">
            <w:pPr>
              <w:spacing w:after="0" w:line="240" w:lineRule="auto"/>
              <w:jc w:val="right"/>
              <w:rPr>
                <w:rFonts w:eastAsia="Times New Roman" w:cs="Arial"/>
                <w:color w:val="000000"/>
                <w:sz w:val="20"/>
                <w:szCs w:val="20"/>
              </w:rPr>
            </w:pPr>
            <w:r w:rsidRPr="00627DA0">
              <w:rPr>
                <w:rFonts w:cs="Arial"/>
                <w:color w:val="000000"/>
                <w:sz w:val="20"/>
                <w:szCs w:val="20"/>
              </w:rPr>
              <w:t>221</w:t>
            </w:r>
          </w:p>
        </w:tc>
      </w:tr>
    </w:tbl>
    <w:p w14:paraId="2B670964" w14:textId="77777777" w:rsidR="00D64E87" w:rsidRPr="00627DA0" w:rsidRDefault="00D64E87" w:rsidP="00D64E87"/>
    <w:p w14:paraId="2AE003CB" w14:textId="77777777" w:rsidR="00D64E87" w:rsidRPr="00627DA0" w:rsidRDefault="00D64E87" w:rsidP="00D64E87">
      <w:pPr>
        <w:pStyle w:val="Heading3"/>
      </w:pPr>
      <w:r w:rsidRPr="00627DA0">
        <w:t>Agricultural</w:t>
      </w:r>
    </w:p>
    <w:p w14:paraId="36A78EE5" w14:textId="148021E6" w:rsidR="00D64E87" w:rsidRPr="00627DA0" w:rsidRDefault="00D64E87" w:rsidP="00D64E87">
      <w:r w:rsidRPr="00627DA0">
        <w:t xml:space="preserve">Most of the </w:t>
      </w:r>
      <w:r w:rsidR="003C7055" w:rsidRPr="00627DA0">
        <w:t xml:space="preserve">agricultural </w:t>
      </w:r>
      <w:r w:rsidRPr="00627DA0">
        <w:t xml:space="preserve">savings potential in Inland Power’s service area is related to the irrigation end use, with smaller amounts available in the lighting end use. The study team aligned savings with historic accomplishments for irrigation and slowed all other ramp rates given the more limited program history in this sector. </w:t>
      </w:r>
    </w:p>
    <w:p w14:paraId="5521BF75" w14:textId="77777777" w:rsidR="00D64E87" w:rsidRPr="00627DA0" w:rsidRDefault="00D64E87" w:rsidP="00D64E87">
      <w:pPr>
        <w:pStyle w:val="Caption"/>
      </w:pPr>
      <w:r w:rsidRPr="00627DA0">
        <w:t>Table 6: Alignment of Agricultural Program History and Potential by End Use (MWh)</w:t>
      </w:r>
    </w:p>
    <w:tbl>
      <w:tblPr>
        <w:tblW w:w="5000" w:type="pct"/>
        <w:tblLook w:val="04A0" w:firstRow="1" w:lastRow="0" w:firstColumn="1" w:lastColumn="0" w:noHBand="0" w:noVBand="1"/>
      </w:tblPr>
      <w:tblGrid>
        <w:gridCol w:w="2396"/>
        <w:gridCol w:w="930"/>
        <w:gridCol w:w="930"/>
        <w:gridCol w:w="932"/>
        <w:gridCol w:w="1043"/>
        <w:gridCol w:w="1043"/>
        <w:gridCol w:w="1043"/>
        <w:gridCol w:w="1043"/>
      </w:tblGrid>
      <w:tr w:rsidR="00D64E87" w:rsidRPr="00627DA0" w14:paraId="0F5B737C" w14:textId="77777777" w:rsidTr="002B151F">
        <w:trPr>
          <w:trHeight w:val="315"/>
        </w:trPr>
        <w:tc>
          <w:tcPr>
            <w:tcW w:w="1280" w:type="pct"/>
            <w:tcBorders>
              <w:top w:val="single" w:sz="8" w:space="0" w:color="auto"/>
              <w:left w:val="nil"/>
              <w:bottom w:val="single" w:sz="8" w:space="0" w:color="auto"/>
              <w:right w:val="nil"/>
            </w:tcBorders>
            <w:shd w:val="clear" w:color="000000" w:fill="44546A"/>
            <w:noWrap/>
            <w:vAlign w:val="bottom"/>
            <w:hideMark/>
          </w:tcPr>
          <w:p w14:paraId="0ABAC44C"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 </w:t>
            </w:r>
          </w:p>
        </w:tc>
        <w:tc>
          <w:tcPr>
            <w:tcW w:w="1492" w:type="pct"/>
            <w:gridSpan w:val="3"/>
            <w:tcBorders>
              <w:top w:val="single" w:sz="8" w:space="0" w:color="auto"/>
              <w:left w:val="nil"/>
              <w:bottom w:val="single" w:sz="8" w:space="0" w:color="auto"/>
              <w:right w:val="single" w:sz="4" w:space="0" w:color="000000"/>
            </w:tcBorders>
            <w:shd w:val="clear" w:color="000000" w:fill="44546A"/>
            <w:noWrap/>
            <w:vAlign w:val="bottom"/>
            <w:hideMark/>
          </w:tcPr>
          <w:p w14:paraId="3A095474" w14:textId="77777777" w:rsidR="00D64E87" w:rsidRPr="00627DA0" w:rsidRDefault="00D64E87" w:rsidP="002B151F">
            <w:pPr>
              <w:spacing w:after="0" w:line="240" w:lineRule="auto"/>
              <w:jc w:val="center"/>
              <w:rPr>
                <w:rFonts w:eastAsia="Times New Roman" w:cs="Times New Roman"/>
                <w:b/>
                <w:bCs/>
                <w:color w:val="FFFFFF"/>
                <w:sz w:val="20"/>
                <w:szCs w:val="20"/>
              </w:rPr>
            </w:pPr>
            <w:r w:rsidRPr="00627DA0">
              <w:rPr>
                <w:rFonts w:eastAsia="Times New Roman" w:cs="Times New Roman"/>
                <w:b/>
                <w:bCs/>
                <w:color w:val="FFFFFF"/>
                <w:sz w:val="20"/>
                <w:szCs w:val="20"/>
              </w:rPr>
              <w:t>Program History</w:t>
            </w:r>
          </w:p>
        </w:tc>
        <w:tc>
          <w:tcPr>
            <w:tcW w:w="2227" w:type="pct"/>
            <w:gridSpan w:val="4"/>
            <w:tcBorders>
              <w:top w:val="single" w:sz="8" w:space="0" w:color="auto"/>
              <w:left w:val="single" w:sz="4" w:space="0" w:color="auto"/>
              <w:bottom w:val="single" w:sz="8" w:space="0" w:color="auto"/>
              <w:right w:val="nil"/>
            </w:tcBorders>
            <w:shd w:val="clear" w:color="000000" w:fill="44546A"/>
            <w:noWrap/>
            <w:vAlign w:val="bottom"/>
            <w:hideMark/>
          </w:tcPr>
          <w:p w14:paraId="12F9AC80" w14:textId="77777777" w:rsidR="00D64E87" w:rsidRPr="00627DA0" w:rsidRDefault="00D64E87" w:rsidP="002B151F">
            <w:pPr>
              <w:spacing w:after="0" w:line="240" w:lineRule="auto"/>
              <w:jc w:val="center"/>
              <w:rPr>
                <w:rFonts w:eastAsia="Times New Roman" w:cs="Times New Roman"/>
                <w:b/>
                <w:bCs/>
                <w:color w:val="FFFFFF"/>
                <w:sz w:val="20"/>
                <w:szCs w:val="20"/>
              </w:rPr>
            </w:pPr>
            <w:r w:rsidRPr="00627DA0">
              <w:rPr>
                <w:rFonts w:eastAsia="Times New Roman" w:cs="Times New Roman"/>
                <w:b/>
                <w:bCs/>
                <w:color w:val="FFFFFF"/>
                <w:sz w:val="20"/>
                <w:szCs w:val="20"/>
              </w:rPr>
              <w:t>CPA Cost-Effective Potential</w:t>
            </w:r>
          </w:p>
        </w:tc>
      </w:tr>
      <w:tr w:rsidR="00D64E87" w:rsidRPr="00627DA0" w14:paraId="1896272C" w14:textId="77777777" w:rsidTr="002B151F">
        <w:trPr>
          <w:trHeight w:val="315"/>
        </w:trPr>
        <w:tc>
          <w:tcPr>
            <w:tcW w:w="1280" w:type="pct"/>
            <w:tcBorders>
              <w:top w:val="nil"/>
              <w:left w:val="nil"/>
              <w:bottom w:val="single" w:sz="8" w:space="0" w:color="auto"/>
              <w:right w:val="nil"/>
            </w:tcBorders>
            <w:shd w:val="clear" w:color="000000" w:fill="002C7C"/>
            <w:noWrap/>
            <w:vAlign w:val="bottom"/>
            <w:hideMark/>
          </w:tcPr>
          <w:p w14:paraId="426A0C60" w14:textId="77777777" w:rsidR="00D64E87" w:rsidRPr="00627DA0" w:rsidRDefault="00D64E87" w:rsidP="002B151F">
            <w:pPr>
              <w:spacing w:after="0" w:line="240" w:lineRule="auto"/>
              <w:jc w:val="left"/>
              <w:rPr>
                <w:rFonts w:eastAsia="Times New Roman" w:cs="Times New Roman"/>
                <w:b/>
                <w:bCs/>
                <w:color w:val="FFFFFF"/>
                <w:sz w:val="20"/>
                <w:szCs w:val="20"/>
              </w:rPr>
            </w:pPr>
            <w:r w:rsidRPr="00627DA0">
              <w:rPr>
                <w:rFonts w:eastAsia="Times New Roman" w:cs="Times New Roman"/>
                <w:b/>
                <w:bCs/>
                <w:color w:val="FFFFFF"/>
                <w:sz w:val="20"/>
                <w:szCs w:val="20"/>
              </w:rPr>
              <w:t>End Use</w:t>
            </w:r>
          </w:p>
        </w:tc>
        <w:tc>
          <w:tcPr>
            <w:tcW w:w="497" w:type="pct"/>
            <w:tcBorders>
              <w:top w:val="nil"/>
              <w:left w:val="nil"/>
              <w:bottom w:val="single" w:sz="8" w:space="0" w:color="auto"/>
              <w:right w:val="nil"/>
            </w:tcBorders>
            <w:shd w:val="clear" w:color="000000" w:fill="002C7C"/>
            <w:noWrap/>
            <w:vAlign w:val="bottom"/>
            <w:hideMark/>
          </w:tcPr>
          <w:p w14:paraId="79699EC8"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2022</w:t>
            </w:r>
          </w:p>
        </w:tc>
        <w:tc>
          <w:tcPr>
            <w:tcW w:w="497" w:type="pct"/>
            <w:tcBorders>
              <w:top w:val="nil"/>
              <w:left w:val="nil"/>
              <w:bottom w:val="single" w:sz="8" w:space="0" w:color="auto"/>
              <w:right w:val="nil"/>
            </w:tcBorders>
            <w:shd w:val="clear" w:color="000000" w:fill="002C7C"/>
            <w:noWrap/>
            <w:vAlign w:val="bottom"/>
            <w:hideMark/>
          </w:tcPr>
          <w:p w14:paraId="63FD4BAD"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2023</w:t>
            </w:r>
          </w:p>
        </w:tc>
        <w:tc>
          <w:tcPr>
            <w:tcW w:w="497" w:type="pct"/>
            <w:tcBorders>
              <w:top w:val="nil"/>
              <w:left w:val="nil"/>
              <w:bottom w:val="single" w:sz="8" w:space="0" w:color="auto"/>
              <w:right w:val="nil"/>
            </w:tcBorders>
            <w:shd w:val="clear" w:color="000000" w:fill="002C7C"/>
            <w:noWrap/>
            <w:vAlign w:val="bottom"/>
            <w:hideMark/>
          </w:tcPr>
          <w:p w14:paraId="074D10C8"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2024</w:t>
            </w:r>
          </w:p>
        </w:tc>
        <w:tc>
          <w:tcPr>
            <w:tcW w:w="557" w:type="pct"/>
            <w:tcBorders>
              <w:top w:val="nil"/>
              <w:left w:val="single" w:sz="8" w:space="0" w:color="auto"/>
              <w:bottom w:val="single" w:sz="8" w:space="0" w:color="auto"/>
              <w:right w:val="nil"/>
            </w:tcBorders>
            <w:shd w:val="clear" w:color="000000" w:fill="002C7C"/>
            <w:noWrap/>
            <w:vAlign w:val="bottom"/>
            <w:hideMark/>
          </w:tcPr>
          <w:p w14:paraId="32896F78"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2026</w:t>
            </w:r>
          </w:p>
        </w:tc>
        <w:tc>
          <w:tcPr>
            <w:tcW w:w="557" w:type="pct"/>
            <w:tcBorders>
              <w:top w:val="nil"/>
              <w:left w:val="nil"/>
              <w:bottom w:val="single" w:sz="8" w:space="0" w:color="auto"/>
              <w:right w:val="nil"/>
            </w:tcBorders>
            <w:shd w:val="clear" w:color="000000" w:fill="002C7C"/>
            <w:noWrap/>
            <w:vAlign w:val="bottom"/>
            <w:hideMark/>
          </w:tcPr>
          <w:p w14:paraId="5D862BE1"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2027</w:t>
            </w:r>
          </w:p>
        </w:tc>
        <w:tc>
          <w:tcPr>
            <w:tcW w:w="557" w:type="pct"/>
            <w:tcBorders>
              <w:top w:val="nil"/>
              <w:left w:val="nil"/>
              <w:bottom w:val="single" w:sz="8" w:space="0" w:color="auto"/>
              <w:right w:val="nil"/>
            </w:tcBorders>
            <w:shd w:val="clear" w:color="000000" w:fill="002C7C"/>
            <w:noWrap/>
            <w:vAlign w:val="bottom"/>
            <w:hideMark/>
          </w:tcPr>
          <w:p w14:paraId="7F4E360B"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2028</w:t>
            </w:r>
          </w:p>
        </w:tc>
        <w:tc>
          <w:tcPr>
            <w:tcW w:w="557" w:type="pct"/>
            <w:tcBorders>
              <w:top w:val="nil"/>
              <w:left w:val="nil"/>
              <w:bottom w:val="single" w:sz="8" w:space="0" w:color="auto"/>
              <w:right w:val="nil"/>
            </w:tcBorders>
            <w:shd w:val="clear" w:color="000000" w:fill="002C7C"/>
            <w:noWrap/>
            <w:vAlign w:val="bottom"/>
            <w:hideMark/>
          </w:tcPr>
          <w:p w14:paraId="767C45FE" w14:textId="77777777" w:rsidR="00D64E87" w:rsidRPr="00627DA0" w:rsidRDefault="00D64E87" w:rsidP="002B151F">
            <w:pPr>
              <w:spacing w:after="0" w:line="240" w:lineRule="auto"/>
              <w:jc w:val="right"/>
              <w:rPr>
                <w:rFonts w:eastAsia="Times New Roman" w:cs="Times New Roman"/>
                <w:b/>
                <w:bCs/>
                <w:color w:val="FFFFFF"/>
                <w:sz w:val="20"/>
                <w:szCs w:val="20"/>
              </w:rPr>
            </w:pPr>
            <w:r w:rsidRPr="00627DA0">
              <w:rPr>
                <w:rFonts w:eastAsia="Times New Roman" w:cs="Times New Roman"/>
                <w:b/>
                <w:bCs/>
                <w:color w:val="FFFFFF"/>
                <w:sz w:val="20"/>
                <w:szCs w:val="20"/>
              </w:rPr>
              <w:t>2029</w:t>
            </w:r>
          </w:p>
        </w:tc>
      </w:tr>
      <w:tr w:rsidR="00D64E87" w:rsidRPr="00627DA0" w14:paraId="49FAC71E" w14:textId="77777777" w:rsidTr="002B151F">
        <w:trPr>
          <w:trHeight w:val="300"/>
        </w:trPr>
        <w:tc>
          <w:tcPr>
            <w:tcW w:w="1280" w:type="pct"/>
            <w:tcBorders>
              <w:top w:val="nil"/>
              <w:left w:val="nil"/>
              <w:bottom w:val="nil"/>
              <w:right w:val="nil"/>
            </w:tcBorders>
            <w:noWrap/>
            <w:vAlign w:val="bottom"/>
            <w:hideMark/>
          </w:tcPr>
          <w:p w14:paraId="53698D3D"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Irrigation</w:t>
            </w:r>
          </w:p>
        </w:tc>
        <w:tc>
          <w:tcPr>
            <w:tcW w:w="497" w:type="pct"/>
            <w:tcBorders>
              <w:top w:val="nil"/>
              <w:left w:val="nil"/>
              <w:bottom w:val="nil"/>
              <w:right w:val="nil"/>
            </w:tcBorders>
            <w:shd w:val="clear" w:color="000000" w:fill="FFFFFF"/>
            <w:noWrap/>
            <w:vAlign w:val="bottom"/>
            <w:hideMark/>
          </w:tcPr>
          <w:p w14:paraId="135C373A"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53BF6C4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BF5CA"/>
            <w:noWrap/>
            <w:vAlign w:val="bottom"/>
            <w:hideMark/>
          </w:tcPr>
          <w:p w14:paraId="71A9F98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91</w:t>
            </w:r>
          </w:p>
        </w:tc>
        <w:tc>
          <w:tcPr>
            <w:tcW w:w="557" w:type="pct"/>
            <w:tcBorders>
              <w:top w:val="nil"/>
              <w:left w:val="single" w:sz="8" w:space="0" w:color="auto"/>
              <w:bottom w:val="nil"/>
              <w:right w:val="nil"/>
            </w:tcBorders>
            <w:shd w:val="clear" w:color="000000" w:fill="FEFDF2"/>
            <w:noWrap/>
            <w:vAlign w:val="bottom"/>
            <w:hideMark/>
          </w:tcPr>
          <w:p w14:paraId="20D73F3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24</w:t>
            </w:r>
          </w:p>
        </w:tc>
        <w:tc>
          <w:tcPr>
            <w:tcW w:w="557" w:type="pct"/>
            <w:tcBorders>
              <w:top w:val="nil"/>
              <w:left w:val="nil"/>
              <w:bottom w:val="nil"/>
              <w:right w:val="nil"/>
            </w:tcBorders>
            <w:shd w:val="clear" w:color="000000" w:fill="FEFBE9"/>
            <w:noWrap/>
            <w:vAlign w:val="bottom"/>
            <w:hideMark/>
          </w:tcPr>
          <w:p w14:paraId="7CA0BBE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38</w:t>
            </w:r>
          </w:p>
        </w:tc>
        <w:tc>
          <w:tcPr>
            <w:tcW w:w="557" w:type="pct"/>
            <w:tcBorders>
              <w:top w:val="nil"/>
              <w:left w:val="nil"/>
              <w:bottom w:val="nil"/>
              <w:right w:val="nil"/>
            </w:tcBorders>
            <w:shd w:val="clear" w:color="000000" w:fill="FDF9DE"/>
            <w:noWrap/>
            <w:vAlign w:val="bottom"/>
            <w:hideMark/>
          </w:tcPr>
          <w:p w14:paraId="3D54889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57</w:t>
            </w:r>
          </w:p>
        </w:tc>
        <w:tc>
          <w:tcPr>
            <w:tcW w:w="557" w:type="pct"/>
            <w:tcBorders>
              <w:top w:val="nil"/>
              <w:left w:val="nil"/>
              <w:bottom w:val="nil"/>
              <w:right w:val="nil"/>
            </w:tcBorders>
            <w:shd w:val="clear" w:color="000000" w:fill="FCF6D0"/>
            <w:noWrap/>
            <w:vAlign w:val="bottom"/>
            <w:hideMark/>
          </w:tcPr>
          <w:p w14:paraId="6F0911BF"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81</w:t>
            </w:r>
          </w:p>
        </w:tc>
      </w:tr>
      <w:tr w:rsidR="00D64E87" w:rsidRPr="00627DA0" w14:paraId="08D75F4D" w14:textId="77777777" w:rsidTr="002B151F">
        <w:trPr>
          <w:trHeight w:val="300"/>
        </w:trPr>
        <w:tc>
          <w:tcPr>
            <w:tcW w:w="1280" w:type="pct"/>
            <w:tcBorders>
              <w:top w:val="nil"/>
              <w:left w:val="nil"/>
              <w:bottom w:val="nil"/>
              <w:right w:val="nil"/>
            </w:tcBorders>
            <w:noWrap/>
            <w:vAlign w:val="bottom"/>
            <w:hideMark/>
          </w:tcPr>
          <w:p w14:paraId="34B5B81E"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Lighting</w:t>
            </w:r>
          </w:p>
        </w:tc>
        <w:tc>
          <w:tcPr>
            <w:tcW w:w="497" w:type="pct"/>
            <w:tcBorders>
              <w:top w:val="nil"/>
              <w:left w:val="nil"/>
              <w:bottom w:val="nil"/>
              <w:right w:val="nil"/>
            </w:tcBorders>
            <w:shd w:val="clear" w:color="000000" w:fill="FFFFFF"/>
            <w:noWrap/>
            <w:vAlign w:val="bottom"/>
            <w:hideMark/>
          </w:tcPr>
          <w:p w14:paraId="3A65382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5828278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17814D7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single" w:sz="8" w:space="0" w:color="auto"/>
              <w:bottom w:val="nil"/>
              <w:right w:val="nil"/>
            </w:tcBorders>
            <w:shd w:val="clear" w:color="000000" w:fill="FFFFFF"/>
            <w:noWrap/>
            <w:vAlign w:val="bottom"/>
            <w:hideMark/>
          </w:tcPr>
          <w:p w14:paraId="5684DB5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57" w:type="pct"/>
            <w:tcBorders>
              <w:top w:val="nil"/>
              <w:left w:val="nil"/>
              <w:bottom w:val="nil"/>
              <w:right w:val="nil"/>
            </w:tcBorders>
            <w:shd w:val="clear" w:color="000000" w:fill="FFFFFF"/>
            <w:noWrap/>
            <w:vAlign w:val="bottom"/>
            <w:hideMark/>
          </w:tcPr>
          <w:p w14:paraId="41E06D8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1</w:t>
            </w:r>
          </w:p>
        </w:tc>
        <w:tc>
          <w:tcPr>
            <w:tcW w:w="557" w:type="pct"/>
            <w:tcBorders>
              <w:top w:val="nil"/>
              <w:left w:val="nil"/>
              <w:bottom w:val="nil"/>
              <w:right w:val="nil"/>
            </w:tcBorders>
            <w:shd w:val="clear" w:color="000000" w:fill="FFFFFE"/>
            <w:noWrap/>
            <w:vAlign w:val="bottom"/>
            <w:hideMark/>
          </w:tcPr>
          <w:p w14:paraId="59D6BFB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2</w:t>
            </w:r>
          </w:p>
        </w:tc>
        <w:tc>
          <w:tcPr>
            <w:tcW w:w="557" w:type="pct"/>
            <w:tcBorders>
              <w:top w:val="nil"/>
              <w:left w:val="nil"/>
              <w:bottom w:val="nil"/>
              <w:right w:val="nil"/>
            </w:tcBorders>
            <w:shd w:val="clear" w:color="000000" w:fill="FFFFFD"/>
            <w:noWrap/>
            <w:vAlign w:val="bottom"/>
            <w:hideMark/>
          </w:tcPr>
          <w:p w14:paraId="1E85A9FF"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4</w:t>
            </w:r>
          </w:p>
        </w:tc>
      </w:tr>
      <w:tr w:rsidR="00D64E87" w:rsidRPr="00627DA0" w14:paraId="48ACB486" w14:textId="77777777" w:rsidTr="002B151F">
        <w:trPr>
          <w:trHeight w:val="300"/>
        </w:trPr>
        <w:tc>
          <w:tcPr>
            <w:tcW w:w="1280" w:type="pct"/>
            <w:tcBorders>
              <w:top w:val="nil"/>
              <w:left w:val="nil"/>
              <w:bottom w:val="nil"/>
              <w:right w:val="nil"/>
            </w:tcBorders>
            <w:noWrap/>
            <w:vAlign w:val="bottom"/>
            <w:hideMark/>
          </w:tcPr>
          <w:p w14:paraId="496FC146"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Process Heating</w:t>
            </w:r>
          </w:p>
        </w:tc>
        <w:tc>
          <w:tcPr>
            <w:tcW w:w="497" w:type="pct"/>
            <w:tcBorders>
              <w:top w:val="nil"/>
              <w:left w:val="nil"/>
              <w:bottom w:val="nil"/>
              <w:right w:val="nil"/>
            </w:tcBorders>
            <w:shd w:val="clear" w:color="000000" w:fill="FFFFFF"/>
            <w:noWrap/>
            <w:vAlign w:val="bottom"/>
            <w:hideMark/>
          </w:tcPr>
          <w:p w14:paraId="5F566C0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117B1AF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3AC6481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single" w:sz="8" w:space="0" w:color="auto"/>
              <w:bottom w:val="nil"/>
              <w:right w:val="nil"/>
            </w:tcBorders>
            <w:shd w:val="clear" w:color="000000" w:fill="FFFFFF"/>
            <w:noWrap/>
            <w:vAlign w:val="bottom"/>
            <w:hideMark/>
          </w:tcPr>
          <w:p w14:paraId="63C7F2A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08B47372"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0DBD852E"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3AAAE1FF"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3CC63B38" w14:textId="77777777" w:rsidTr="002B151F">
        <w:trPr>
          <w:trHeight w:val="300"/>
        </w:trPr>
        <w:tc>
          <w:tcPr>
            <w:tcW w:w="1280" w:type="pct"/>
            <w:tcBorders>
              <w:top w:val="nil"/>
              <w:left w:val="nil"/>
              <w:bottom w:val="nil"/>
              <w:right w:val="nil"/>
            </w:tcBorders>
            <w:noWrap/>
            <w:vAlign w:val="bottom"/>
            <w:hideMark/>
          </w:tcPr>
          <w:p w14:paraId="24965E0F"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Refrigeration</w:t>
            </w:r>
          </w:p>
        </w:tc>
        <w:tc>
          <w:tcPr>
            <w:tcW w:w="497" w:type="pct"/>
            <w:tcBorders>
              <w:top w:val="nil"/>
              <w:left w:val="nil"/>
              <w:bottom w:val="nil"/>
              <w:right w:val="nil"/>
            </w:tcBorders>
            <w:shd w:val="clear" w:color="000000" w:fill="FFFFFF"/>
            <w:noWrap/>
            <w:vAlign w:val="bottom"/>
            <w:hideMark/>
          </w:tcPr>
          <w:p w14:paraId="37A33613"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0B5E3B7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391BFF6D"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single" w:sz="8" w:space="0" w:color="auto"/>
              <w:bottom w:val="nil"/>
              <w:right w:val="nil"/>
            </w:tcBorders>
            <w:shd w:val="clear" w:color="000000" w:fill="FFFFFF"/>
            <w:noWrap/>
            <w:vAlign w:val="bottom"/>
            <w:hideMark/>
          </w:tcPr>
          <w:p w14:paraId="0222BF1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0A0A45BB"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4721BF06"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74AA1A7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1C6AEC63" w14:textId="77777777" w:rsidTr="002B151F">
        <w:trPr>
          <w:trHeight w:val="300"/>
        </w:trPr>
        <w:tc>
          <w:tcPr>
            <w:tcW w:w="1280" w:type="pct"/>
            <w:tcBorders>
              <w:top w:val="nil"/>
              <w:left w:val="nil"/>
              <w:bottom w:val="nil"/>
              <w:right w:val="nil"/>
            </w:tcBorders>
            <w:noWrap/>
            <w:vAlign w:val="bottom"/>
            <w:hideMark/>
          </w:tcPr>
          <w:p w14:paraId="1BDAB414" w14:textId="77777777" w:rsidR="00D64E87" w:rsidRPr="00627DA0" w:rsidRDefault="00D64E87" w:rsidP="002B151F">
            <w:pPr>
              <w:spacing w:after="0" w:line="240" w:lineRule="auto"/>
              <w:jc w:val="left"/>
              <w:rPr>
                <w:rFonts w:eastAsia="Times New Roman" w:cs="Times New Roman"/>
                <w:color w:val="000000"/>
                <w:sz w:val="20"/>
                <w:szCs w:val="20"/>
              </w:rPr>
            </w:pPr>
            <w:r w:rsidRPr="00627DA0">
              <w:rPr>
                <w:rFonts w:eastAsia="Times New Roman" w:cs="Times New Roman"/>
                <w:color w:val="000000"/>
                <w:sz w:val="20"/>
                <w:szCs w:val="20"/>
              </w:rPr>
              <w:t>Ventilation</w:t>
            </w:r>
          </w:p>
        </w:tc>
        <w:tc>
          <w:tcPr>
            <w:tcW w:w="497" w:type="pct"/>
            <w:tcBorders>
              <w:top w:val="nil"/>
              <w:left w:val="nil"/>
              <w:bottom w:val="nil"/>
              <w:right w:val="nil"/>
            </w:tcBorders>
            <w:shd w:val="clear" w:color="000000" w:fill="FFFFFF"/>
            <w:noWrap/>
            <w:vAlign w:val="bottom"/>
            <w:hideMark/>
          </w:tcPr>
          <w:p w14:paraId="303B29D9"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68C147B7"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497" w:type="pct"/>
            <w:tcBorders>
              <w:top w:val="nil"/>
              <w:left w:val="nil"/>
              <w:bottom w:val="nil"/>
              <w:right w:val="nil"/>
            </w:tcBorders>
            <w:shd w:val="clear" w:color="000000" w:fill="FFFFFF"/>
            <w:noWrap/>
            <w:vAlign w:val="bottom"/>
            <w:hideMark/>
          </w:tcPr>
          <w:p w14:paraId="59E9282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single" w:sz="8" w:space="0" w:color="auto"/>
              <w:bottom w:val="nil"/>
              <w:right w:val="nil"/>
            </w:tcBorders>
            <w:shd w:val="clear" w:color="000000" w:fill="FFFFFF"/>
            <w:noWrap/>
            <w:vAlign w:val="bottom"/>
            <w:hideMark/>
          </w:tcPr>
          <w:p w14:paraId="60B70104"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67AED8E8"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39C4300C"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c>
          <w:tcPr>
            <w:tcW w:w="557" w:type="pct"/>
            <w:tcBorders>
              <w:top w:val="nil"/>
              <w:left w:val="nil"/>
              <w:bottom w:val="nil"/>
              <w:right w:val="nil"/>
            </w:tcBorders>
            <w:shd w:val="clear" w:color="000000" w:fill="FFFFFF"/>
            <w:noWrap/>
            <w:vAlign w:val="bottom"/>
            <w:hideMark/>
          </w:tcPr>
          <w:p w14:paraId="36740830" w14:textId="77777777" w:rsidR="00D64E87" w:rsidRPr="00627DA0" w:rsidRDefault="00D64E87" w:rsidP="002B151F">
            <w:pPr>
              <w:spacing w:after="0" w:line="240" w:lineRule="auto"/>
              <w:jc w:val="right"/>
              <w:rPr>
                <w:rFonts w:eastAsia="Times New Roman" w:cs="Times New Roman"/>
                <w:color w:val="000000"/>
                <w:sz w:val="20"/>
                <w:szCs w:val="20"/>
              </w:rPr>
            </w:pPr>
            <w:r w:rsidRPr="00627DA0">
              <w:rPr>
                <w:rFonts w:eastAsia="Times New Roman" w:cs="Times New Roman"/>
                <w:color w:val="000000"/>
                <w:sz w:val="20"/>
                <w:szCs w:val="20"/>
              </w:rPr>
              <w:t>-</w:t>
            </w:r>
          </w:p>
        </w:tc>
      </w:tr>
      <w:tr w:rsidR="00D64E87" w:rsidRPr="00627DA0" w14:paraId="6418CA9B" w14:textId="77777777" w:rsidTr="002B151F">
        <w:trPr>
          <w:trHeight w:val="315"/>
        </w:trPr>
        <w:tc>
          <w:tcPr>
            <w:tcW w:w="1280" w:type="pct"/>
            <w:tcBorders>
              <w:top w:val="single" w:sz="4" w:space="0" w:color="auto"/>
              <w:left w:val="nil"/>
              <w:bottom w:val="single" w:sz="8" w:space="0" w:color="auto"/>
              <w:right w:val="nil"/>
            </w:tcBorders>
            <w:noWrap/>
            <w:vAlign w:val="bottom"/>
            <w:hideMark/>
          </w:tcPr>
          <w:p w14:paraId="4CFB485D" w14:textId="77777777" w:rsidR="00D64E87" w:rsidRPr="00627DA0" w:rsidRDefault="00D64E87" w:rsidP="002B151F">
            <w:pPr>
              <w:spacing w:after="0" w:line="240" w:lineRule="auto"/>
              <w:jc w:val="left"/>
              <w:rPr>
                <w:rFonts w:eastAsia="Times New Roman" w:cs="Times New Roman"/>
                <w:b/>
                <w:bCs/>
                <w:color w:val="000000"/>
                <w:sz w:val="20"/>
                <w:szCs w:val="20"/>
              </w:rPr>
            </w:pPr>
            <w:r w:rsidRPr="00627DA0">
              <w:rPr>
                <w:rFonts w:eastAsia="Times New Roman" w:cs="Times New Roman"/>
                <w:b/>
                <w:bCs/>
                <w:color w:val="000000"/>
                <w:sz w:val="20"/>
                <w:szCs w:val="20"/>
              </w:rPr>
              <w:t>Total</w:t>
            </w:r>
          </w:p>
        </w:tc>
        <w:tc>
          <w:tcPr>
            <w:tcW w:w="497" w:type="pct"/>
            <w:tcBorders>
              <w:top w:val="single" w:sz="4" w:space="0" w:color="auto"/>
              <w:left w:val="nil"/>
              <w:bottom w:val="single" w:sz="8" w:space="0" w:color="auto"/>
              <w:right w:val="nil"/>
            </w:tcBorders>
            <w:noWrap/>
            <w:vAlign w:val="bottom"/>
            <w:hideMark/>
          </w:tcPr>
          <w:p w14:paraId="5F13ECAD"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w:t>
            </w:r>
          </w:p>
        </w:tc>
        <w:tc>
          <w:tcPr>
            <w:tcW w:w="497" w:type="pct"/>
            <w:tcBorders>
              <w:top w:val="single" w:sz="4" w:space="0" w:color="auto"/>
              <w:left w:val="nil"/>
              <w:bottom w:val="single" w:sz="8" w:space="0" w:color="auto"/>
              <w:right w:val="nil"/>
            </w:tcBorders>
            <w:noWrap/>
            <w:vAlign w:val="bottom"/>
            <w:hideMark/>
          </w:tcPr>
          <w:p w14:paraId="1A6BA156"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w:t>
            </w:r>
          </w:p>
        </w:tc>
        <w:tc>
          <w:tcPr>
            <w:tcW w:w="497" w:type="pct"/>
            <w:tcBorders>
              <w:top w:val="single" w:sz="4" w:space="0" w:color="auto"/>
              <w:left w:val="nil"/>
              <w:bottom w:val="single" w:sz="8" w:space="0" w:color="auto"/>
              <w:right w:val="nil"/>
            </w:tcBorders>
            <w:noWrap/>
            <w:vAlign w:val="bottom"/>
            <w:hideMark/>
          </w:tcPr>
          <w:p w14:paraId="2E1916B7"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91</w:t>
            </w:r>
          </w:p>
        </w:tc>
        <w:tc>
          <w:tcPr>
            <w:tcW w:w="557" w:type="pct"/>
            <w:tcBorders>
              <w:top w:val="single" w:sz="4" w:space="0" w:color="auto"/>
              <w:left w:val="single" w:sz="8" w:space="0" w:color="auto"/>
              <w:bottom w:val="single" w:sz="8" w:space="0" w:color="auto"/>
              <w:right w:val="nil"/>
            </w:tcBorders>
            <w:noWrap/>
            <w:vAlign w:val="bottom"/>
            <w:hideMark/>
          </w:tcPr>
          <w:p w14:paraId="13894658"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25</w:t>
            </w:r>
          </w:p>
        </w:tc>
        <w:tc>
          <w:tcPr>
            <w:tcW w:w="557" w:type="pct"/>
            <w:tcBorders>
              <w:top w:val="single" w:sz="4" w:space="0" w:color="auto"/>
              <w:left w:val="nil"/>
              <w:bottom w:val="single" w:sz="8" w:space="0" w:color="auto"/>
              <w:right w:val="nil"/>
            </w:tcBorders>
            <w:noWrap/>
            <w:vAlign w:val="bottom"/>
            <w:hideMark/>
          </w:tcPr>
          <w:p w14:paraId="145C6BF9"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40</w:t>
            </w:r>
          </w:p>
        </w:tc>
        <w:tc>
          <w:tcPr>
            <w:tcW w:w="557" w:type="pct"/>
            <w:tcBorders>
              <w:top w:val="single" w:sz="4" w:space="0" w:color="auto"/>
              <w:left w:val="nil"/>
              <w:bottom w:val="single" w:sz="8" w:space="0" w:color="auto"/>
              <w:right w:val="nil"/>
            </w:tcBorders>
            <w:noWrap/>
            <w:vAlign w:val="bottom"/>
            <w:hideMark/>
          </w:tcPr>
          <w:p w14:paraId="38A6E64E"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60</w:t>
            </w:r>
          </w:p>
        </w:tc>
        <w:tc>
          <w:tcPr>
            <w:tcW w:w="557" w:type="pct"/>
            <w:tcBorders>
              <w:top w:val="single" w:sz="4" w:space="0" w:color="auto"/>
              <w:left w:val="nil"/>
              <w:bottom w:val="single" w:sz="8" w:space="0" w:color="auto"/>
              <w:right w:val="nil"/>
            </w:tcBorders>
            <w:noWrap/>
            <w:vAlign w:val="bottom"/>
            <w:hideMark/>
          </w:tcPr>
          <w:p w14:paraId="75DE16AC" w14:textId="77777777" w:rsidR="00D64E87" w:rsidRPr="00627DA0" w:rsidRDefault="00D64E87" w:rsidP="002B151F">
            <w:pPr>
              <w:spacing w:after="0" w:line="240" w:lineRule="auto"/>
              <w:jc w:val="right"/>
              <w:rPr>
                <w:rFonts w:eastAsia="Times New Roman" w:cs="Times New Roman"/>
                <w:b/>
                <w:bCs/>
                <w:color w:val="000000"/>
                <w:sz w:val="20"/>
                <w:szCs w:val="20"/>
              </w:rPr>
            </w:pPr>
            <w:r w:rsidRPr="00627DA0">
              <w:rPr>
                <w:rFonts w:eastAsia="Times New Roman" w:cs="Times New Roman"/>
                <w:b/>
                <w:bCs/>
                <w:color w:val="000000"/>
                <w:sz w:val="20"/>
                <w:szCs w:val="20"/>
              </w:rPr>
              <w:t>84</w:t>
            </w:r>
          </w:p>
        </w:tc>
      </w:tr>
    </w:tbl>
    <w:p w14:paraId="26217B8B" w14:textId="77777777" w:rsidR="00D64E87" w:rsidRPr="00627DA0" w:rsidRDefault="00D64E87" w:rsidP="00D64E87"/>
    <w:p w14:paraId="2DE11B1E" w14:textId="5B880D86" w:rsidR="001B3083" w:rsidRPr="001B3083" w:rsidRDefault="001B3083" w:rsidP="00D64E87"/>
    <w:sectPr w:rsidR="001B3083" w:rsidRPr="001B3083" w:rsidSect="00B153FD">
      <w:footerReference w:type="first" r:id="rId5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72BB" w14:textId="77777777" w:rsidR="00205D96" w:rsidRPr="00627DA0" w:rsidRDefault="00205D96" w:rsidP="00B5371E">
      <w:pPr>
        <w:spacing w:after="0" w:line="240" w:lineRule="auto"/>
      </w:pPr>
      <w:r w:rsidRPr="00627DA0">
        <w:separator/>
      </w:r>
    </w:p>
  </w:endnote>
  <w:endnote w:type="continuationSeparator" w:id="0">
    <w:p w14:paraId="2F6E36A2" w14:textId="77777777" w:rsidR="00205D96" w:rsidRPr="00627DA0" w:rsidRDefault="00205D96" w:rsidP="00B5371E">
      <w:pPr>
        <w:spacing w:after="0" w:line="240" w:lineRule="auto"/>
      </w:pPr>
      <w:r w:rsidRPr="00627DA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654B" w14:textId="77777777" w:rsidR="00C82A80" w:rsidRPr="00627DA0" w:rsidRDefault="00C82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A4D6" w14:textId="2A0A6DAF" w:rsidR="0092368D" w:rsidRPr="00627DA0" w:rsidRDefault="009F1EA1" w:rsidP="00634802">
    <w:pPr>
      <w:pStyle w:val="Footer"/>
      <w:pBdr>
        <w:top w:val="single" w:sz="18" w:space="1" w:color="002C7C" w:themeColor="accent1"/>
      </w:pBdr>
      <w:tabs>
        <w:tab w:val="right" w:pos="4680"/>
      </w:tabs>
      <w:jc w:val="left"/>
      <w:rPr>
        <w:sz w:val="20"/>
        <w:szCs w:val="20"/>
      </w:rPr>
    </w:pPr>
    <w:r w:rsidRPr="00627DA0">
      <w:rPr>
        <w:smallCaps/>
        <w:sz w:val="20"/>
        <w:szCs w:val="20"/>
      </w:rPr>
      <w:t>Inland Power &amp; Light Co</w:t>
    </w:r>
    <w:r w:rsidR="0032364D" w:rsidRPr="00627DA0">
      <w:rPr>
        <w:smallCaps/>
        <w:sz w:val="20"/>
        <w:szCs w:val="20"/>
      </w:rPr>
      <w:t>mpany</w:t>
    </w:r>
    <w:r w:rsidRPr="00627DA0">
      <w:rPr>
        <w:smallCaps/>
        <w:sz w:val="20"/>
        <w:szCs w:val="20"/>
      </w:rPr>
      <w:t xml:space="preserve"> </w:t>
    </w:r>
    <w:r w:rsidR="0092368D" w:rsidRPr="00627DA0">
      <w:rPr>
        <w:rFonts w:cs="Calibri Light"/>
        <w:smallCaps/>
        <w:sz w:val="20"/>
        <w:szCs w:val="20"/>
      </w:rPr>
      <w:t>— 202</w:t>
    </w:r>
    <w:r w:rsidR="007268D2" w:rsidRPr="00627DA0">
      <w:rPr>
        <w:rFonts w:cs="Calibri Light"/>
        <w:smallCaps/>
        <w:sz w:val="20"/>
        <w:szCs w:val="20"/>
      </w:rPr>
      <w:t>5</w:t>
    </w:r>
    <w:r w:rsidR="0092368D" w:rsidRPr="00627DA0">
      <w:rPr>
        <w:rFonts w:cs="Calibri Light"/>
        <w:smallCaps/>
        <w:sz w:val="20"/>
        <w:szCs w:val="20"/>
      </w:rPr>
      <w:t xml:space="preserve"> </w:t>
    </w:r>
    <w:r w:rsidR="00783F26" w:rsidRPr="00627DA0">
      <w:rPr>
        <w:rFonts w:cs="Calibri Light"/>
        <w:smallCaps/>
        <w:sz w:val="20"/>
        <w:szCs w:val="20"/>
      </w:rPr>
      <w:t>C</w:t>
    </w:r>
    <w:r w:rsidR="0092368D" w:rsidRPr="00627DA0">
      <w:rPr>
        <w:rFonts w:cs="Calibri Light"/>
        <w:smallCaps/>
        <w:sz w:val="20"/>
        <w:szCs w:val="20"/>
      </w:rPr>
      <w:t xml:space="preserve">onservation </w:t>
    </w:r>
    <w:r w:rsidR="00783F26" w:rsidRPr="00627DA0">
      <w:rPr>
        <w:rFonts w:cs="Calibri Light"/>
        <w:smallCaps/>
        <w:sz w:val="20"/>
        <w:szCs w:val="20"/>
      </w:rPr>
      <w:t>P</w:t>
    </w:r>
    <w:r w:rsidR="0092368D" w:rsidRPr="00627DA0">
      <w:rPr>
        <w:rFonts w:cs="Calibri Light"/>
        <w:smallCaps/>
        <w:sz w:val="20"/>
        <w:szCs w:val="20"/>
      </w:rPr>
      <w:t xml:space="preserve">otential </w:t>
    </w:r>
    <w:r w:rsidR="00783F26" w:rsidRPr="00627DA0">
      <w:rPr>
        <w:rFonts w:cs="Calibri Light"/>
        <w:smallCaps/>
        <w:sz w:val="20"/>
        <w:szCs w:val="20"/>
      </w:rPr>
      <w:t>A</w:t>
    </w:r>
    <w:r w:rsidR="0092368D" w:rsidRPr="00627DA0">
      <w:rPr>
        <w:rFonts w:cs="Calibri Light"/>
        <w:smallCaps/>
        <w:sz w:val="20"/>
        <w:szCs w:val="20"/>
      </w:rPr>
      <w:t>ssessment</w:t>
    </w:r>
    <w:r w:rsidR="0092368D" w:rsidRPr="00627DA0">
      <w:rPr>
        <w:rFonts w:ascii="Calibri" w:hAnsi="Calibri" w:cs="Calibri"/>
        <w:sz w:val="20"/>
        <w:szCs w:val="20"/>
      </w:rPr>
      <w:t xml:space="preserve"> </w:t>
    </w:r>
    <w:r w:rsidR="0092368D" w:rsidRPr="00627DA0">
      <w:rPr>
        <w:rFonts w:ascii="Calibri" w:hAnsi="Calibri" w:cs="Calibri"/>
      </w:rPr>
      <w:tab/>
    </w:r>
    <w:sdt>
      <w:sdtPr>
        <w:rPr>
          <w:rFonts w:cs="Calibri Light"/>
          <w:sz w:val="20"/>
          <w:szCs w:val="20"/>
        </w:rPr>
        <w:id w:val="1123122143"/>
        <w:docPartObj>
          <w:docPartGallery w:val="Page Numbers (Bottom of Page)"/>
          <w:docPartUnique/>
        </w:docPartObj>
      </w:sdtPr>
      <w:sdtEndPr>
        <w:rPr>
          <w:rFonts w:cstheme="minorBidi"/>
        </w:rPr>
      </w:sdtEndPr>
      <w:sdtContent>
        <w:r w:rsidR="0092368D" w:rsidRPr="00627DA0">
          <w:rPr>
            <w:sz w:val="20"/>
            <w:szCs w:val="20"/>
          </w:rPr>
          <w:fldChar w:fldCharType="begin"/>
        </w:r>
        <w:r w:rsidR="0092368D" w:rsidRPr="00627DA0">
          <w:rPr>
            <w:sz w:val="20"/>
            <w:szCs w:val="20"/>
          </w:rPr>
          <w:instrText xml:space="preserve"> PAGE   \* MERGEFORMAT </w:instrText>
        </w:r>
        <w:r w:rsidR="0092368D" w:rsidRPr="00627DA0">
          <w:rPr>
            <w:sz w:val="20"/>
            <w:szCs w:val="20"/>
          </w:rPr>
          <w:fldChar w:fldCharType="separate"/>
        </w:r>
        <w:r w:rsidR="0092368D" w:rsidRPr="00627DA0">
          <w:rPr>
            <w:sz w:val="20"/>
            <w:szCs w:val="20"/>
          </w:rPr>
          <w:t>2</w:t>
        </w:r>
        <w:r w:rsidR="0092368D" w:rsidRPr="00627DA0">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EAC8" w14:textId="77777777" w:rsidR="00C82A80" w:rsidRPr="00627DA0" w:rsidRDefault="00C82A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C38B" w14:textId="452ACCB8" w:rsidR="0092368D" w:rsidRPr="00627DA0" w:rsidRDefault="009F1EA1" w:rsidP="00B153FD">
    <w:pPr>
      <w:pStyle w:val="Footer"/>
      <w:pBdr>
        <w:top w:val="single" w:sz="18" w:space="1" w:color="002C7C" w:themeColor="accent1"/>
      </w:pBdr>
      <w:jc w:val="left"/>
      <w:rPr>
        <w:rFonts w:cs="Calibri Light"/>
        <w:smallCaps/>
        <w:sz w:val="20"/>
        <w:szCs w:val="20"/>
      </w:rPr>
    </w:pPr>
    <w:r w:rsidRPr="00627DA0">
      <w:rPr>
        <w:smallCaps/>
        <w:sz w:val="20"/>
        <w:szCs w:val="20"/>
      </w:rPr>
      <w:t>Inland Power &amp; Light Co</w:t>
    </w:r>
    <w:r w:rsidR="0032364D" w:rsidRPr="00627DA0">
      <w:rPr>
        <w:smallCaps/>
        <w:sz w:val="20"/>
        <w:szCs w:val="20"/>
      </w:rPr>
      <w:t>mpany</w:t>
    </w:r>
    <w:r w:rsidRPr="00627DA0">
      <w:rPr>
        <w:smallCaps/>
        <w:sz w:val="20"/>
        <w:szCs w:val="20"/>
      </w:rPr>
      <w:t xml:space="preserve"> </w:t>
    </w:r>
    <w:r w:rsidR="00AF189F" w:rsidRPr="00627DA0">
      <w:rPr>
        <w:rFonts w:cs="Calibri Light"/>
        <w:smallCaps/>
        <w:sz w:val="20"/>
        <w:szCs w:val="20"/>
      </w:rPr>
      <w:t xml:space="preserve">— 2025 </w:t>
    </w:r>
    <w:r w:rsidR="0040328C" w:rsidRPr="00627DA0">
      <w:rPr>
        <w:rFonts w:cs="Calibri Light"/>
        <w:smallCaps/>
        <w:sz w:val="20"/>
        <w:szCs w:val="20"/>
      </w:rPr>
      <w:t>C</w:t>
    </w:r>
    <w:r w:rsidR="00AF189F" w:rsidRPr="00627DA0">
      <w:rPr>
        <w:rFonts w:cs="Calibri Light"/>
        <w:smallCaps/>
        <w:sz w:val="20"/>
        <w:szCs w:val="20"/>
      </w:rPr>
      <w:t xml:space="preserve">onservation </w:t>
    </w:r>
    <w:r w:rsidR="0040328C" w:rsidRPr="00627DA0">
      <w:rPr>
        <w:rFonts w:cs="Calibri Light"/>
        <w:smallCaps/>
        <w:sz w:val="20"/>
        <w:szCs w:val="20"/>
      </w:rPr>
      <w:t>P</w:t>
    </w:r>
    <w:r w:rsidR="00AF189F" w:rsidRPr="00627DA0">
      <w:rPr>
        <w:rFonts w:cs="Calibri Light"/>
        <w:smallCaps/>
        <w:sz w:val="20"/>
        <w:szCs w:val="20"/>
      </w:rPr>
      <w:t xml:space="preserve">otential </w:t>
    </w:r>
    <w:r w:rsidR="0040328C" w:rsidRPr="00627DA0">
      <w:rPr>
        <w:rFonts w:cs="Calibri Light"/>
        <w:smallCaps/>
        <w:sz w:val="20"/>
        <w:szCs w:val="20"/>
      </w:rPr>
      <w:t>A</w:t>
    </w:r>
    <w:r w:rsidR="00AF189F" w:rsidRPr="00627DA0">
      <w:rPr>
        <w:rFonts w:cs="Calibri Light"/>
        <w:smallCaps/>
        <w:sz w:val="20"/>
        <w:szCs w:val="20"/>
      </w:rPr>
      <w:t>ssessment</w:t>
    </w:r>
    <w:r w:rsidR="00AF189F" w:rsidRPr="00627DA0">
      <w:rPr>
        <w:rFonts w:ascii="Calibri" w:hAnsi="Calibri" w:cs="Calibri"/>
        <w:sz w:val="20"/>
        <w:szCs w:val="20"/>
      </w:rPr>
      <w:t xml:space="preserve"> </w:t>
    </w:r>
    <w:r w:rsidR="00F04E6F" w:rsidRPr="00627DA0">
      <w:rPr>
        <w:rFonts w:ascii="Calibri" w:hAnsi="Calibri" w:cs="Calibri"/>
        <w:sz w:val="20"/>
        <w:szCs w:val="20"/>
      </w:rPr>
      <w:tab/>
    </w:r>
    <w:r w:rsidR="005D2CBF" w:rsidRPr="00627DA0">
      <w:rPr>
        <w:rFonts w:cs="Calibri Light"/>
        <w:smallCaps/>
        <w:sz w:val="20"/>
        <w:szCs w:val="20"/>
      </w:rPr>
      <w:tab/>
    </w:r>
    <w:sdt>
      <w:sdtPr>
        <w:rPr>
          <w:rFonts w:cs="Calibri Light"/>
          <w:smallCaps/>
          <w:sz w:val="20"/>
          <w:szCs w:val="20"/>
        </w:rPr>
        <w:id w:val="-1615051753"/>
        <w:docPartObj>
          <w:docPartGallery w:val="Page Numbers (Bottom of Page)"/>
          <w:docPartUnique/>
        </w:docPartObj>
      </w:sdtPr>
      <w:sdtContent>
        <w:r w:rsidR="0092368D" w:rsidRPr="00627DA0">
          <w:rPr>
            <w:rFonts w:cs="Calibri Light"/>
            <w:smallCaps/>
            <w:sz w:val="20"/>
            <w:szCs w:val="20"/>
          </w:rPr>
          <w:fldChar w:fldCharType="begin"/>
        </w:r>
        <w:r w:rsidR="0092368D" w:rsidRPr="00627DA0">
          <w:rPr>
            <w:rFonts w:cs="Calibri Light"/>
            <w:smallCaps/>
            <w:sz w:val="20"/>
            <w:szCs w:val="20"/>
          </w:rPr>
          <w:instrText xml:space="preserve"> PAGE   \* MERGEFORMAT </w:instrText>
        </w:r>
        <w:r w:rsidR="0092368D" w:rsidRPr="00627DA0">
          <w:rPr>
            <w:rFonts w:cs="Calibri Light"/>
            <w:smallCaps/>
            <w:sz w:val="20"/>
            <w:szCs w:val="20"/>
          </w:rPr>
          <w:fldChar w:fldCharType="separate"/>
        </w:r>
        <w:r w:rsidR="0092368D" w:rsidRPr="00627DA0">
          <w:rPr>
            <w:rFonts w:cs="Calibri Light"/>
            <w:smallCaps/>
            <w:sz w:val="20"/>
            <w:szCs w:val="20"/>
          </w:rPr>
          <w:t>2</w:t>
        </w:r>
        <w:r w:rsidR="0092368D" w:rsidRPr="00627DA0">
          <w:rPr>
            <w:rFonts w:cs="Calibri Light"/>
            <w:smallCap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2EC4C" w14:textId="77777777" w:rsidR="00205D96" w:rsidRPr="00627DA0" w:rsidRDefault="00205D96" w:rsidP="00B5371E">
      <w:pPr>
        <w:spacing w:after="0" w:line="240" w:lineRule="auto"/>
      </w:pPr>
      <w:r w:rsidRPr="00627DA0">
        <w:separator/>
      </w:r>
    </w:p>
  </w:footnote>
  <w:footnote w:type="continuationSeparator" w:id="0">
    <w:p w14:paraId="3CCEFFC0" w14:textId="77777777" w:rsidR="00205D96" w:rsidRPr="00627DA0" w:rsidRDefault="00205D96" w:rsidP="00B5371E">
      <w:pPr>
        <w:spacing w:after="0" w:line="240" w:lineRule="auto"/>
      </w:pPr>
      <w:r w:rsidRPr="00627DA0">
        <w:continuationSeparator/>
      </w:r>
    </w:p>
  </w:footnote>
  <w:footnote w:id="1">
    <w:p w14:paraId="4617E728" w14:textId="63775F70" w:rsidR="0092368D" w:rsidRPr="00627DA0" w:rsidRDefault="0092368D">
      <w:pPr>
        <w:pStyle w:val="FootnoteText"/>
      </w:pPr>
      <w:r w:rsidRPr="00627DA0">
        <w:rPr>
          <w:rStyle w:val="FootnoteReference"/>
        </w:rPr>
        <w:footnoteRef/>
      </w:r>
      <w:r w:rsidRPr="00627DA0">
        <w:t xml:space="preserve"> Washington RCW 19.285.040</w:t>
      </w:r>
    </w:p>
  </w:footnote>
  <w:footnote w:id="2">
    <w:p w14:paraId="4F132204" w14:textId="2AFD01DB" w:rsidR="008D0088" w:rsidRPr="00627DA0" w:rsidRDefault="008D0088" w:rsidP="008D0088">
      <w:pPr>
        <w:pStyle w:val="FootnoteText"/>
      </w:pPr>
      <w:r w:rsidRPr="00627DA0">
        <w:rPr>
          <w:rStyle w:val="FootnoteReference"/>
        </w:rPr>
        <w:footnoteRef/>
      </w:r>
      <w:r w:rsidRPr="00627DA0">
        <w:t xml:space="preserve"> In CA No. 2011-03, the State Auditor’s Office defined “pro rata” as “a proportion of an exactly calculable factor” and expects utilities to have analysis and documentation to support their identified targets, which could be more or less than 20% of the 10-year potential.</w:t>
      </w:r>
    </w:p>
  </w:footnote>
  <w:footnote w:id="3">
    <w:p w14:paraId="17057399" w14:textId="77777777" w:rsidR="00D26F4C" w:rsidRPr="00627DA0" w:rsidRDefault="00D26F4C" w:rsidP="00D26F4C">
      <w:pPr>
        <w:pStyle w:val="FootnoteText"/>
      </w:pPr>
      <w:r w:rsidRPr="00627DA0">
        <w:rPr>
          <w:rStyle w:val="FootnoteReference"/>
        </w:rPr>
        <w:footnoteRef/>
      </w:r>
      <w:r w:rsidRPr="00627DA0">
        <w:t xml:space="preserve"> WAC 194-37-070</w:t>
      </w:r>
    </w:p>
  </w:footnote>
  <w:footnote w:id="4">
    <w:p w14:paraId="47307013" w14:textId="13957EC8" w:rsidR="00D26F4C" w:rsidRPr="00627DA0" w:rsidRDefault="00D26F4C" w:rsidP="00B92F2E">
      <w:pPr>
        <w:pStyle w:val="FootnoteText"/>
        <w:jc w:val="left"/>
      </w:pPr>
      <w:r w:rsidRPr="00627DA0">
        <w:rPr>
          <w:rStyle w:val="FootnoteReference"/>
        </w:rPr>
        <w:footnoteRef/>
      </w:r>
      <w:r w:rsidRPr="00627DA0">
        <w:t xml:space="preserve"> </w:t>
      </w:r>
      <w:r w:rsidRPr="00627DA0">
        <w:rPr>
          <w:sz w:val="18"/>
          <w:szCs w:val="18"/>
        </w:rPr>
        <w:t xml:space="preserve">See </w:t>
      </w:r>
      <w:hyperlink r:id="rId1" w:history="1">
        <w:r w:rsidR="00B24CEB" w:rsidRPr="00627DA0">
          <w:rPr>
            <w:rStyle w:val="Hyperlink"/>
            <w:sz w:val="18"/>
            <w:szCs w:val="18"/>
          </w:rPr>
          <w:t>https://www.epa.gov/sites/production/files/2016-12/documents/social_cost_of_carbon_fact_sheet.pdf</w:t>
        </w:r>
      </w:hyperlink>
    </w:p>
  </w:footnote>
  <w:footnote w:id="5">
    <w:p w14:paraId="28486B49" w14:textId="77777777" w:rsidR="00D26F4C" w:rsidRPr="00627DA0" w:rsidRDefault="00D26F4C" w:rsidP="00B92F2E">
      <w:pPr>
        <w:pStyle w:val="FootnoteText"/>
        <w:jc w:val="left"/>
      </w:pPr>
      <w:r w:rsidRPr="00627DA0">
        <w:rPr>
          <w:rStyle w:val="FootnoteReference"/>
          <w:sz w:val="18"/>
          <w:szCs w:val="18"/>
        </w:rPr>
        <w:footnoteRef/>
      </w:r>
      <w:r w:rsidRPr="00627DA0">
        <w:rPr>
          <w:sz w:val="18"/>
          <w:szCs w:val="18"/>
        </w:rPr>
        <w:t xml:space="preserve"> WAC 194-40-100</w:t>
      </w:r>
    </w:p>
  </w:footnote>
  <w:footnote w:id="6">
    <w:p w14:paraId="313009CA" w14:textId="404C5AF2" w:rsidR="00867C5F" w:rsidRPr="00627DA0" w:rsidRDefault="00867C5F" w:rsidP="00867C5F">
      <w:pPr>
        <w:pStyle w:val="FootnoteText"/>
      </w:pPr>
      <w:r w:rsidRPr="00627DA0">
        <w:rPr>
          <w:rStyle w:val="FootnoteReference"/>
        </w:rPr>
        <w:footnoteRef/>
      </w:r>
      <w:r w:rsidRPr="00627DA0">
        <w:t xml:space="preserve"> These values reflect updates from the Council as the 2021 Power Plan was finalized.</w:t>
      </w:r>
    </w:p>
  </w:footnote>
  <w:footnote w:id="7">
    <w:p w14:paraId="33BA7AF7" w14:textId="5DAB97CC" w:rsidR="009A777B" w:rsidRPr="00627DA0" w:rsidRDefault="009A777B">
      <w:pPr>
        <w:pStyle w:val="FootnoteText"/>
      </w:pPr>
      <w:r w:rsidRPr="00627DA0">
        <w:rPr>
          <w:rStyle w:val="FootnoteReference"/>
        </w:rPr>
        <w:footnoteRef/>
      </w:r>
      <w:r w:rsidRPr="00627DA0">
        <w:t xml:space="preserve"> See </w:t>
      </w:r>
      <w:hyperlink r:id="rId2" w:history="1">
        <w:r w:rsidR="00420A94" w:rsidRPr="00627DA0">
          <w:rPr>
            <w:rStyle w:val="Hyperlink"/>
          </w:rPr>
          <w:t>https://eta-publications.lbl.gov/sites/default/files/lbnl-3960e-hrcp.pdf</w:t>
        </w:r>
      </w:hyperlink>
    </w:p>
  </w:footnote>
  <w:footnote w:id="8">
    <w:p w14:paraId="182BFFAC" w14:textId="77777777" w:rsidR="00A11194" w:rsidRPr="00627DA0" w:rsidRDefault="00A11194" w:rsidP="00A11194">
      <w:pPr>
        <w:pStyle w:val="FootnoteText"/>
      </w:pPr>
      <w:r w:rsidRPr="00627DA0">
        <w:rPr>
          <w:rStyle w:val="FootnoteReference"/>
        </w:rPr>
        <w:footnoteRef/>
      </w:r>
      <w:r w:rsidRPr="00627DA0">
        <w:t xml:space="preserve"> WAC 194-37-070. Accessed January 20, 2021. </w:t>
      </w:r>
      <w:hyperlink r:id="rId3" w:history="1">
        <w:r w:rsidRPr="00627DA0">
          <w:rPr>
            <w:rStyle w:val="Hyperlink"/>
          </w:rPr>
          <w:t>https://app.leg.wa.gov/wac/default.aspx?cite=194-37-070</w:t>
        </w:r>
      </w:hyperlink>
    </w:p>
  </w:footnote>
  <w:footnote w:id="9">
    <w:p w14:paraId="6AFC2C51" w14:textId="77777777" w:rsidR="00A11194" w:rsidRPr="00627DA0" w:rsidRDefault="00A11194" w:rsidP="00A11194">
      <w:pPr>
        <w:pStyle w:val="FootnoteText"/>
      </w:pPr>
      <w:r w:rsidRPr="00627DA0">
        <w:rPr>
          <w:rStyle w:val="FootnoteReference"/>
        </w:rPr>
        <w:footnoteRef/>
      </w:r>
      <w:r w:rsidRPr="00627DA0">
        <w:t xml:space="preserve"> WAC 194-40-100. Accessed March 7, 2023. </w:t>
      </w:r>
      <w:hyperlink r:id="rId4" w:history="1">
        <w:r w:rsidRPr="00627DA0">
          <w:rPr>
            <w:rStyle w:val="Hyperlink"/>
          </w:rPr>
          <w:t>https://app.leg.wa.gov/WAC/default.aspx?cite=194-40-100</w:t>
        </w:r>
      </w:hyperlink>
    </w:p>
  </w:footnote>
  <w:footnote w:id="10">
    <w:p w14:paraId="673D2086" w14:textId="77777777" w:rsidR="00A11194" w:rsidRPr="00627DA0" w:rsidRDefault="00A11194" w:rsidP="00A11194">
      <w:pPr>
        <w:pStyle w:val="FootnoteText"/>
      </w:pPr>
      <w:r w:rsidRPr="00627DA0">
        <w:rPr>
          <w:rStyle w:val="FootnoteReference"/>
        </w:rPr>
        <w:footnoteRef/>
      </w:r>
      <w:r w:rsidRPr="00627DA0">
        <w:t xml:space="preserve"> WAC 194-40-330. Accessed May 7, 2025. </w:t>
      </w:r>
      <w:hyperlink r:id="rId5" w:history="1">
        <w:r w:rsidRPr="00627DA0">
          <w:rPr>
            <w:rStyle w:val="Hyperlink"/>
          </w:rPr>
          <w:t>https://app.leg.wa.gov/wac/default.aspx?cite=194-40-330</w:t>
        </w:r>
      </w:hyperlink>
    </w:p>
  </w:footnote>
  <w:footnote w:id="11">
    <w:p w14:paraId="2F15B3AF" w14:textId="77777777" w:rsidR="00A11194" w:rsidRPr="00627DA0" w:rsidRDefault="00A11194" w:rsidP="00A11194">
      <w:pPr>
        <w:pStyle w:val="FootnoteText"/>
      </w:pPr>
      <w:r w:rsidRPr="00627DA0">
        <w:rPr>
          <w:rStyle w:val="FootnoteReference"/>
        </w:rPr>
        <w:footnoteRef/>
      </w:r>
      <w:r w:rsidRPr="00627DA0">
        <w:t xml:space="preserve"> </w:t>
      </w:r>
      <w:hyperlink r:id="rId6" w:history="1">
        <w:r w:rsidRPr="00627DA0">
          <w:rPr>
            <w:rStyle w:val="Hyperlink"/>
          </w:rPr>
          <w:t>https://www.pse.com/-/media/PDFs/IRP/2023/electric/chapters/05_EPR23_Ch5_Final.pdf</w:t>
        </w:r>
      </w:hyperlink>
    </w:p>
  </w:footnote>
  <w:footnote w:id="12">
    <w:p w14:paraId="6E9B15D7" w14:textId="77777777" w:rsidR="00A11194" w:rsidRPr="00627DA0" w:rsidRDefault="00A11194" w:rsidP="00A11194">
      <w:pPr>
        <w:pStyle w:val="FootnoteText"/>
      </w:pPr>
      <w:r w:rsidRPr="00627DA0">
        <w:rPr>
          <w:rStyle w:val="FootnoteReference"/>
        </w:rPr>
        <w:footnoteRef/>
      </w:r>
      <w:r w:rsidRPr="00627DA0">
        <w:t xml:space="preserve"> </w:t>
      </w:r>
      <w:hyperlink r:id="rId7" w:history="1">
        <w:r w:rsidRPr="00627DA0">
          <w:rPr>
            <w:rStyle w:val="Hyperlink"/>
          </w:rPr>
          <w:t>https://www.pacificorp.com/energy/integrated-resource-plan/support.html</w:t>
        </w:r>
      </w:hyperlink>
    </w:p>
  </w:footnote>
  <w:footnote w:id="13">
    <w:p w14:paraId="4EA1CE11" w14:textId="77777777" w:rsidR="00A11194" w:rsidRPr="00627DA0" w:rsidRDefault="00A11194" w:rsidP="00A11194">
      <w:pPr>
        <w:pStyle w:val="FootnoteText"/>
      </w:pPr>
      <w:r w:rsidRPr="00627DA0">
        <w:rPr>
          <w:rStyle w:val="FootnoteReference"/>
        </w:rPr>
        <w:footnoteRef/>
      </w:r>
      <w:r w:rsidRPr="00627DA0">
        <w:t xml:space="preserve"> </w:t>
      </w:r>
      <w:hyperlink r:id="rId8" w:history="1">
        <w:r w:rsidRPr="00627DA0">
          <w:rPr>
            <w:rStyle w:val="Hyperlink"/>
          </w:rPr>
          <w:t>https://edocs.puc.state.or.us/efdocs/HAU/um1893hau334281025.pdf</w:t>
        </w:r>
      </w:hyperlink>
    </w:p>
  </w:footnote>
  <w:footnote w:id="14">
    <w:p w14:paraId="306B50D9" w14:textId="77777777" w:rsidR="00A11194" w:rsidRPr="00627DA0" w:rsidRDefault="00A11194" w:rsidP="00A11194">
      <w:pPr>
        <w:pStyle w:val="FootnoteText"/>
      </w:pPr>
      <w:r w:rsidRPr="00627DA0">
        <w:rPr>
          <w:rStyle w:val="FootnoteReference"/>
        </w:rPr>
        <w:footnoteRef/>
      </w:r>
      <w:r w:rsidRPr="00627DA0">
        <w:t xml:space="preserve"> </w:t>
      </w:r>
      <w:hyperlink r:id="rId9" w:history="1">
        <w:r w:rsidRPr="00627DA0">
          <w:rPr>
            <w:rStyle w:val="Hyperlink"/>
          </w:rPr>
          <w:t>https://www.epa.gov/sites/production/files/2016-12/documents/social_cost_of_carbon_fact_sheet.pdf</w:t>
        </w:r>
      </w:hyperlink>
      <w:r w:rsidRPr="00627DA0">
        <w:t>. Accessed January 21, 2021.</w:t>
      </w:r>
    </w:p>
  </w:footnote>
  <w:footnote w:id="15">
    <w:p w14:paraId="2009532D" w14:textId="77777777" w:rsidR="00A11194" w:rsidRPr="00627DA0" w:rsidRDefault="00A11194" w:rsidP="00A11194">
      <w:pPr>
        <w:pStyle w:val="FootnoteText"/>
      </w:pPr>
      <w:r w:rsidRPr="00627DA0">
        <w:rPr>
          <w:rStyle w:val="FootnoteReference"/>
        </w:rPr>
        <w:footnoteRef/>
      </w:r>
      <w:r w:rsidRPr="00627DA0">
        <w:t xml:space="preserve"> </w:t>
      </w:r>
      <w:hyperlink r:id="rId10" w:history="1">
        <w:r w:rsidRPr="00627DA0">
          <w:rPr>
            <w:rStyle w:val="Hyperlink"/>
          </w:rPr>
          <w:t>https://nwcouncil.app.box.com/s/m2877jpsigx2m3mv0u401wtfle0t5z8y</w:t>
        </w:r>
      </w:hyperlink>
    </w:p>
  </w:footnote>
  <w:footnote w:id="16">
    <w:p w14:paraId="7BF77956" w14:textId="77777777" w:rsidR="00D64E87" w:rsidRDefault="00D64E87" w:rsidP="00D64E87">
      <w:pPr>
        <w:pStyle w:val="FootnoteText"/>
        <w:jc w:val="left"/>
      </w:pPr>
      <w:r w:rsidRPr="00627DA0">
        <w:rPr>
          <w:rStyle w:val="FootnoteReference"/>
        </w:rPr>
        <w:footnoteRef/>
      </w:r>
      <w:r w:rsidRPr="00627DA0">
        <w:t>Accessed July 11, 2025. https://lawfilesext.leg.wa.gov/biennium/2023-24/Pdf/Bills/Session%20Laws/House/1185-S2.SL.pdf?q=20250714075226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DDBE" w14:textId="77777777" w:rsidR="00C82A80" w:rsidRPr="00627DA0" w:rsidRDefault="00C82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C7DD" w14:textId="77777777" w:rsidR="00C82A80" w:rsidRPr="00627DA0" w:rsidRDefault="00C82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E2C0" w14:textId="77777777" w:rsidR="00C82A80" w:rsidRPr="00627DA0" w:rsidRDefault="00C82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2ED"/>
    <w:multiLevelType w:val="hybridMultilevel"/>
    <w:tmpl w:val="73A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56BF7"/>
    <w:multiLevelType w:val="hybridMultilevel"/>
    <w:tmpl w:val="647C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7486D"/>
    <w:multiLevelType w:val="hybridMultilevel"/>
    <w:tmpl w:val="7950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55C58"/>
    <w:multiLevelType w:val="hybridMultilevel"/>
    <w:tmpl w:val="ED66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97891"/>
    <w:multiLevelType w:val="hybridMultilevel"/>
    <w:tmpl w:val="48507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C1FF4"/>
    <w:multiLevelType w:val="hybridMultilevel"/>
    <w:tmpl w:val="F85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12DB2"/>
    <w:multiLevelType w:val="hybridMultilevel"/>
    <w:tmpl w:val="8C78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C7358"/>
    <w:multiLevelType w:val="hybridMultilevel"/>
    <w:tmpl w:val="8BD2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51E30"/>
    <w:multiLevelType w:val="hybridMultilevel"/>
    <w:tmpl w:val="5B926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E47336"/>
    <w:multiLevelType w:val="hybridMultilevel"/>
    <w:tmpl w:val="4B34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C149D"/>
    <w:multiLevelType w:val="hybridMultilevel"/>
    <w:tmpl w:val="E0FE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23A6F"/>
    <w:multiLevelType w:val="hybridMultilevel"/>
    <w:tmpl w:val="A89874F2"/>
    <w:lvl w:ilvl="0" w:tplc="80828F52">
      <w:start w:val="1"/>
      <w:numFmt w:val="decimal"/>
      <w:lvlText w:val="%1."/>
      <w:lvlJc w:val="left"/>
      <w:pPr>
        <w:ind w:left="720" w:hanging="360"/>
      </w:pPr>
      <w:rPr>
        <w:rFonts w:cstheme="minorBidi"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05C41"/>
    <w:multiLevelType w:val="hybridMultilevel"/>
    <w:tmpl w:val="F5C4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2319969">
    <w:abstractNumId w:val="12"/>
  </w:num>
  <w:num w:numId="2" w16cid:durableId="401759814">
    <w:abstractNumId w:val="9"/>
  </w:num>
  <w:num w:numId="3" w16cid:durableId="1614242518">
    <w:abstractNumId w:val="4"/>
  </w:num>
  <w:num w:numId="4" w16cid:durableId="856381386">
    <w:abstractNumId w:val="3"/>
  </w:num>
  <w:num w:numId="5" w16cid:durableId="2008053090">
    <w:abstractNumId w:val="7"/>
  </w:num>
  <w:num w:numId="6" w16cid:durableId="728919383">
    <w:abstractNumId w:val="1"/>
  </w:num>
  <w:num w:numId="7" w16cid:durableId="2042247283">
    <w:abstractNumId w:val="5"/>
  </w:num>
  <w:num w:numId="8" w16cid:durableId="418985266">
    <w:abstractNumId w:val="6"/>
  </w:num>
  <w:num w:numId="9" w16cid:durableId="4132490">
    <w:abstractNumId w:val="0"/>
  </w:num>
  <w:num w:numId="10" w16cid:durableId="1487471509">
    <w:abstractNumId w:val="8"/>
  </w:num>
  <w:num w:numId="11" w16cid:durableId="976029485">
    <w:abstractNumId w:val="10"/>
  </w:num>
  <w:num w:numId="12" w16cid:durableId="60711764">
    <w:abstractNumId w:val="2"/>
  </w:num>
  <w:num w:numId="13" w16cid:durableId="875658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BAE"/>
    <w:rsid w:val="000000C5"/>
    <w:rsid w:val="0000090A"/>
    <w:rsid w:val="000009D5"/>
    <w:rsid w:val="00001037"/>
    <w:rsid w:val="00001262"/>
    <w:rsid w:val="00001466"/>
    <w:rsid w:val="00001C22"/>
    <w:rsid w:val="00002077"/>
    <w:rsid w:val="0000258B"/>
    <w:rsid w:val="00002BC8"/>
    <w:rsid w:val="000036D9"/>
    <w:rsid w:val="00003B8C"/>
    <w:rsid w:val="00003F97"/>
    <w:rsid w:val="0000445D"/>
    <w:rsid w:val="00004464"/>
    <w:rsid w:val="00004EBE"/>
    <w:rsid w:val="000053CB"/>
    <w:rsid w:val="00005516"/>
    <w:rsid w:val="0000578A"/>
    <w:rsid w:val="000063EE"/>
    <w:rsid w:val="00006D3B"/>
    <w:rsid w:val="0000740E"/>
    <w:rsid w:val="000074EF"/>
    <w:rsid w:val="0001014A"/>
    <w:rsid w:val="000101F4"/>
    <w:rsid w:val="00010A39"/>
    <w:rsid w:val="00010B03"/>
    <w:rsid w:val="00010BEA"/>
    <w:rsid w:val="000117D8"/>
    <w:rsid w:val="00011A24"/>
    <w:rsid w:val="000121FD"/>
    <w:rsid w:val="00012F71"/>
    <w:rsid w:val="000131B3"/>
    <w:rsid w:val="00013F40"/>
    <w:rsid w:val="0001407D"/>
    <w:rsid w:val="00014330"/>
    <w:rsid w:val="000147E2"/>
    <w:rsid w:val="00014D2F"/>
    <w:rsid w:val="00014F90"/>
    <w:rsid w:val="000153EA"/>
    <w:rsid w:val="00015E2D"/>
    <w:rsid w:val="00016886"/>
    <w:rsid w:val="00016930"/>
    <w:rsid w:val="00016A32"/>
    <w:rsid w:val="00016DE2"/>
    <w:rsid w:val="00017211"/>
    <w:rsid w:val="00017861"/>
    <w:rsid w:val="00017E02"/>
    <w:rsid w:val="00017EBC"/>
    <w:rsid w:val="000202DC"/>
    <w:rsid w:val="000208CB"/>
    <w:rsid w:val="00020E2C"/>
    <w:rsid w:val="00021788"/>
    <w:rsid w:val="00021908"/>
    <w:rsid w:val="000221ED"/>
    <w:rsid w:val="000228FD"/>
    <w:rsid w:val="000238CE"/>
    <w:rsid w:val="00023CC0"/>
    <w:rsid w:val="000249BE"/>
    <w:rsid w:val="000258B2"/>
    <w:rsid w:val="00025B15"/>
    <w:rsid w:val="0002632D"/>
    <w:rsid w:val="000266EE"/>
    <w:rsid w:val="00026AF0"/>
    <w:rsid w:val="0002748C"/>
    <w:rsid w:val="00027731"/>
    <w:rsid w:val="00030289"/>
    <w:rsid w:val="000308C6"/>
    <w:rsid w:val="0003135F"/>
    <w:rsid w:val="00031EC3"/>
    <w:rsid w:val="00032573"/>
    <w:rsid w:val="00033427"/>
    <w:rsid w:val="000335FA"/>
    <w:rsid w:val="00034436"/>
    <w:rsid w:val="00034448"/>
    <w:rsid w:val="00034C9E"/>
    <w:rsid w:val="00035493"/>
    <w:rsid w:val="0003554D"/>
    <w:rsid w:val="00035810"/>
    <w:rsid w:val="000367B7"/>
    <w:rsid w:val="00040133"/>
    <w:rsid w:val="000408ED"/>
    <w:rsid w:val="00040A84"/>
    <w:rsid w:val="000410BE"/>
    <w:rsid w:val="000412BA"/>
    <w:rsid w:val="00041A17"/>
    <w:rsid w:val="00041B32"/>
    <w:rsid w:val="00041FCC"/>
    <w:rsid w:val="00042591"/>
    <w:rsid w:val="000426C2"/>
    <w:rsid w:val="0004323D"/>
    <w:rsid w:val="00043E1F"/>
    <w:rsid w:val="00043E83"/>
    <w:rsid w:val="000442D7"/>
    <w:rsid w:val="000450F2"/>
    <w:rsid w:val="0004516F"/>
    <w:rsid w:val="0004548B"/>
    <w:rsid w:val="000463D1"/>
    <w:rsid w:val="000467A7"/>
    <w:rsid w:val="00046D51"/>
    <w:rsid w:val="000472D3"/>
    <w:rsid w:val="000505EF"/>
    <w:rsid w:val="00050909"/>
    <w:rsid w:val="00050A43"/>
    <w:rsid w:val="00050C68"/>
    <w:rsid w:val="00050F7F"/>
    <w:rsid w:val="00051006"/>
    <w:rsid w:val="000514FD"/>
    <w:rsid w:val="0005181D"/>
    <w:rsid w:val="00052CB9"/>
    <w:rsid w:val="000530D9"/>
    <w:rsid w:val="000535C9"/>
    <w:rsid w:val="00053A7C"/>
    <w:rsid w:val="00054011"/>
    <w:rsid w:val="00054074"/>
    <w:rsid w:val="0005420C"/>
    <w:rsid w:val="000543AD"/>
    <w:rsid w:val="00054480"/>
    <w:rsid w:val="00054506"/>
    <w:rsid w:val="000546C4"/>
    <w:rsid w:val="00055739"/>
    <w:rsid w:val="000559D8"/>
    <w:rsid w:val="00055E04"/>
    <w:rsid w:val="00056934"/>
    <w:rsid w:val="00056B13"/>
    <w:rsid w:val="0005756B"/>
    <w:rsid w:val="00057825"/>
    <w:rsid w:val="000600E5"/>
    <w:rsid w:val="000600F1"/>
    <w:rsid w:val="00060482"/>
    <w:rsid w:val="0006150B"/>
    <w:rsid w:val="0006199C"/>
    <w:rsid w:val="000621CA"/>
    <w:rsid w:val="0006387E"/>
    <w:rsid w:val="000639CA"/>
    <w:rsid w:val="000641A6"/>
    <w:rsid w:val="00064996"/>
    <w:rsid w:val="00066685"/>
    <w:rsid w:val="00066C23"/>
    <w:rsid w:val="00067713"/>
    <w:rsid w:val="000702FC"/>
    <w:rsid w:val="0007083F"/>
    <w:rsid w:val="00071244"/>
    <w:rsid w:val="000714D7"/>
    <w:rsid w:val="00071E66"/>
    <w:rsid w:val="00072168"/>
    <w:rsid w:val="00072E5E"/>
    <w:rsid w:val="000736C1"/>
    <w:rsid w:val="0007375E"/>
    <w:rsid w:val="00073A8F"/>
    <w:rsid w:val="00074FE6"/>
    <w:rsid w:val="00075683"/>
    <w:rsid w:val="000757DC"/>
    <w:rsid w:val="0007686D"/>
    <w:rsid w:val="00076C31"/>
    <w:rsid w:val="00076E0F"/>
    <w:rsid w:val="000772B3"/>
    <w:rsid w:val="000777C1"/>
    <w:rsid w:val="000777D8"/>
    <w:rsid w:val="00077AA4"/>
    <w:rsid w:val="00077B0C"/>
    <w:rsid w:val="0008094C"/>
    <w:rsid w:val="0008099D"/>
    <w:rsid w:val="00080DE1"/>
    <w:rsid w:val="00081026"/>
    <w:rsid w:val="00081A3F"/>
    <w:rsid w:val="00081D2B"/>
    <w:rsid w:val="00082ADF"/>
    <w:rsid w:val="00083EA2"/>
    <w:rsid w:val="0008528E"/>
    <w:rsid w:val="00085B48"/>
    <w:rsid w:val="0008601A"/>
    <w:rsid w:val="000862F5"/>
    <w:rsid w:val="000862F8"/>
    <w:rsid w:val="00086584"/>
    <w:rsid w:val="000867C5"/>
    <w:rsid w:val="00086F55"/>
    <w:rsid w:val="000870A1"/>
    <w:rsid w:val="000874D0"/>
    <w:rsid w:val="00087B59"/>
    <w:rsid w:val="00087BE2"/>
    <w:rsid w:val="00091E0C"/>
    <w:rsid w:val="00091EE9"/>
    <w:rsid w:val="00092598"/>
    <w:rsid w:val="0009279C"/>
    <w:rsid w:val="00092925"/>
    <w:rsid w:val="00092B50"/>
    <w:rsid w:val="00092E81"/>
    <w:rsid w:val="0009324B"/>
    <w:rsid w:val="00093D35"/>
    <w:rsid w:val="00094532"/>
    <w:rsid w:val="00095582"/>
    <w:rsid w:val="000956E6"/>
    <w:rsid w:val="00096074"/>
    <w:rsid w:val="0009670D"/>
    <w:rsid w:val="000A0A8D"/>
    <w:rsid w:val="000A1787"/>
    <w:rsid w:val="000A1C02"/>
    <w:rsid w:val="000A1FA2"/>
    <w:rsid w:val="000A1FCB"/>
    <w:rsid w:val="000A20DB"/>
    <w:rsid w:val="000A2E38"/>
    <w:rsid w:val="000A3147"/>
    <w:rsid w:val="000A3921"/>
    <w:rsid w:val="000A40B7"/>
    <w:rsid w:val="000A4904"/>
    <w:rsid w:val="000A4F0F"/>
    <w:rsid w:val="000A5A0E"/>
    <w:rsid w:val="000A5AFA"/>
    <w:rsid w:val="000A619A"/>
    <w:rsid w:val="000A6374"/>
    <w:rsid w:val="000A6706"/>
    <w:rsid w:val="000A67C2"/>
    <w:rsid w:val="000A7A1C"/>
    <w:rsid w:val="000B083B"/>
    <w:rsid w:val="000B0C39"/>
    <w:rsid w:val="000B0CD3"/>
    <w:rsid w:val="000B0DCB"/>
    <w:rsid w:val="000B13A1"/>
    <w:rsid w:val="000B23DD"/>
    <w:rsid w:val="000B2511"/>
    <w:rsid w:val="000B272E"/>
    <w:rsid w:val="000B2732"/>
    <w:rsid w:val="000B2E41"/>
    <w:rsid w:val="000B3D0B"/>
    <w:rsid w:val="000B3E9D"/>
    <w:rsid w:val="000B3F79"/>
    <w:rsid w:val="000B4133"/>
    <w:rsid w:val="000B44AC"/>
    <w:rsid w:val="000B4E97"/>
    <w:rsid w:val="000B51F7"/>
    <w:rsid w:val="000B535B"/>
    <w:rsid w:val="000B571C"/>
    <w:rsid w:val="000B5808"/>
    <w:rsid w:val="000B594D"/>
    <w:rsid w:val="000B6C7E"/>
    <w:rsid w:val="000B7027"/>
    <w:rsid w:val="000B7112"/>
    <w:rsid w:val="000C0106"/>
    <w:rsid w:val="000C0480"/>
    <w:rsid w:val="000C0E62"/>
    <w:rsid w:val="000C139E"/>
    <w:rsid w:val="000C1F5E"/>
    <w:rsid w:val="000C2078"/>
    <w:rsid w:val="000C2E6E"/>
    <w:rsid w:val="000C3256"/>
    <w:rsid w:val="000C3D0E"/>
    <w:rsid w:val="000C4199"/>
    <w:rsid w:val="000C452D"/>
    <w:rsid w:val="000C4556"/>
    <w:rsid w:val="000C46CE"/>
    <w:rsid w:val="000C4D32"/>
    <w:rsid w:val="000C5162"/>
    <w:rsid w:val="000C5945"/>
    <w:rsid w:val="000C598A"/>
    <w:rsid w:val="000C6A14"/>
    <w:rsid w:val="000C7282"/>
    <w:rsid w:val="000C776F"/>
    <w:rsid w:val="000D025E"/>
    <w:rsid w:val="000D0D3A"/>
    <w:rsid w:val="000D0D84"/>
    <w:rsid w:val="000D0DCA"/>
    <w:rsid w:val="000D1053"/>
    <w:rsid w:val="000D19AF"/>
    <w:rsid w:val="000D2062"/>
    <w:rsid w:val="000D22C7"/>
    <w:rsid w:val="000D2843"/>
    <w:rsid w:val="000D374C"/>
    <w:rsid w:val="000D3DEF"/>
    <w:rsid w:val="000D4B4F"/>
    <w:rsid w:val="000D59F4"/>
    <w:rsid w:val="000D5F95"/>
    <w:rsid w:val="000D611F"/>
    <w:rsid w:val="000D647A"/>
    <w:rsid w:val="000D6A38"/>
    <w:rsid w:val="000D6A70"/>
    <w:rsid w:val="000D6EC8"/>
    <w:rsid w:val="000D7525"/>
    <w:rsid w:val="000D76B4"/>
    <w:rsid w:val="000D79F4"/>
    <w:rsid w:val="000E142C"/>
    <w:rsid w:val="000E1C58"/>
    <w:rsid w:val="000E23A5"/>
    <w:rsid w:val="000E2AB7"/>
    <w:rsid w:val="000E30B2"/>
    <w:rsid w:val="000E3285"/>
    <w:rsid w:val="000E3971"/>
    <w:rsid w:val="000E4F9B"/>
    <w:rsid w:val="000E54B8"/>
    <w:rsid w:val="000E5804"/>
    <w:rsid w:val="000E5CCF"/>
    <w:rsid w:val="000E5E76"/>
    <w:rsid w:val="000E63AB"/>
    <w:rsid w:val="000E6573"/>
    <w:rsid w:val="000E6D1F"/>
    <w:rsid w:val="000E7F18"/>
    <w:rsid w:val="000F0575"/>
    <w:rsid w:val="000F15CE"/>
    <w:rsid w:val="000F17C9"/>
    <w:rsid w:val="000F21E6"/>
    <w:rsid w:val="000F237F"/>
    <w:rsid w:val="000F253C"/>
    <w:rsid w:val="000F2CB1"/>
    <w:rsid w:val="000F3878"/>
    <w:rsid w:val="000F3A63"/>
    <w:rsid w:val="000F41B0"/>
    <w:rsid w:val="000F4456"/>
    <w:rsid w:val="000F4E48"/>
    <w:rsid w:val="000F5066"/>
    <w:rsid w:val="000F5355"/>
    <w:rsid w:val="000F5D6F"/>
    <w:rsid w:val="000F620B"/>
    <w:rsid w:val="000F6EBA"/>
    <w:rsid w:val="000F72B9"/>
    <w:rsid w:val="000F7800"/>
    <w:rsid w:val="001004C7"/>
    <w:rsid w:val="00100D4F"/>
    <w:rsid w:val="00100D83"/>
    <w:rsid w:val="00101310"/>
    <w:rsid w:val="0010152A"/>
    <w:rsid w:val="00101F33"/>
    <w:rsid w:val="00102087"/>
    <w:rsid w:val="001020BB"/>
    <w:rsid w:val="001023A5"/>
    <w:rsid w:val="001025BD"/>
    <w:rsid w:val="00102864"/>
    <w:rsid w:val="00102A4D"/>
    <w:rsid w:val="0010345E"/>
    <w:rsid w:val="001037C6"/>
    <w:rsid w:val="001044D3"/>
    <w:rsid w:val="001051EB"/>
    <w:rsid w:val="0010562C"/>
    <w:rsid w:val="001057D9"/>
    <w:rsid w:val="00105C7A"/>
    <w:rsid w:val="001060F6"/>
    <w:rsid w:val="001063B4"/>
    <w:rsid w:val="001071BE"/>
    <w:rsid w:val="001071DF"/>
    <w:rsid w:val="00107F78"/>
    <w:rsid w:val="00110A57"/>
    <w:rsid w:val="00110D22"/>
    <w:rsid w:val="00110FF7"/>
    <w:rsid w:val="0011101A"/>
    <w:rsid w:val="00111E20"/>
    <w:rsid w:val="0011273F"/>
    <w:rsid w:val="0011274C"/>
    <w:rsid w:val="00112D17"/>
    <w:rsid w:val="001137D6"/>
    <w:rsid w:val="00113CBD"/>
    <w:rsid w:val="00113F3A"/>
    <w:rsid w:val="00114FF5"/>
    <w:rsid w:val="001157E4"/>
    <w:rsid w:val="00115A92"/>
    <w:rsid w:val="00116349"/>
    <w:rsid w:val="00116A03"/>
    <w:rsid w:val="0011723F"/>
    <w:rsid w:val="00117B72"/>
    <w:rsid w:val="001200D9"/>
    <w:rsid w:val="0012062A"/>
    <w:rsid w:val="00120BC0"/>
    <w:rsid w:val="00121618"/>
    <w:rsid w:val="0012197D"/>
    <w:rsid w:val="00122B84"/>
    <w:rsid w:val="00124146"/>
    <w:rsid w:val="0012416E"/>
    <w:rsid w:val="0012490B"/>
    <w:rsid w:val="00124F4B"/>
    <w:rsid w:val="00125B0F"/>
    <w:rsid w:val="00126629"/>
    <w:rsid w:val="00127531"/>
    <w:rsid w:val="001279F6"/>
    <w:rsid w:val="00127D31"/>
    <w:rsid w:val="001302A5"/>
    <w:rsid w:val="001302DC"/>
    <w:rsid w:val="001312E1"/>
    <w:rsid w:val="00131FD3"/>
    <w:rsid w:val="00132453"/>
    <w:rsid w:val="00132B9B"/>
    <w:rsid w:val="001330A9"/>
    <w:rsid w:val="00133931"/>
    <w:rsid w:val="00133D22"/>
    <w:rsid w:val="001342A4"/>
    <w:rsid w:val="00134399"/>
    <w:rsid w:val="001343D6"/>
    <w:rsid w:val="001345F9"/>
    <w:rsid w:val="00135F00"/>
    <w:rsid w:val="0013616F"/>
    <w:rsid w:val="00136687"/>
    <w:rsid w:val="00136C90"/>
    <w:rsid w:val="001402A8"/>
    <w:rsid w:val="00140F17"/>
    <w:rsid w:val="00141900"/>
    <w:rsid w:val="00141BAE"/>
    <w:rsid w:val="00141FA8"/>
    <w:rsid w:val="00142306"/>
    <w:rsid w:val="00142396"/>
    <w:rsid w:val="00142765"/>
    <w:rsid w:val="00142D68"/>
    <w:rsid w:val="00143063"/>
    <w:rsid w:val="001433A0"/>
    <w:rsid w:val="001433D6"/>
    <w:rsid w:val="00143AAF"/>
    <w:rsid w:val="00143CCA"/>
    <w:rsid w:val="00144C9D"/>
    <w:rsid w:val="00145D6B"/>
    <w:rsid w:val="00146290"/>
    <w:rsid w:val="00146972"/>
    <w:rsid w:val="00147B27"/>
    <w:rsid w:val="00147F53"/>
    <w:rsid w:val="00147F61"/>
    <w:rsid w:val="001503A7"/>
    <w:rsid w:val="00151A77"/>
    <w:rsid w:val="001538C5"/>
    <w:rsid w:val="001547C0"/>
    <w:rsid w:val="00154867"/>
    <w:rsid w:val="00154BFE"/>
    <w:rsid w:val="001551A5"/>
    <w:rsid w:val="001557CA"/>
    <w:rsid w:val="0015589F"/>
    <w:rsid w:val="00155F7B"/>
    <w:rsid w:val="00156598"/>
    <w:rsid w:val="00156DF7"/>
    <w:rsid w:val="00157357"/>
    <w:rsid w:val="00157FD4"/>
    <w:rsid w:val="00160332"/>
    <w:rsid w:val="00160643"/>
    <w:rsid w:val="00160D61"/>
    <w:rsid w:val="001614FF"/>
    <w:rsid w:val="00161A88"/>
    <w:rsid w:val="00161FDC"/>
    <w:rsid w:val="001625FB"/>
    <w:rsid w:val="00162F3D"/>
    <w:rsid w:val="00162F9A"/>
    <w:rsid w:val="0016374B"/>
    <w:rsid w:val="00163BDA"/>
    <w:rsid w:val="00163E92"/>
    <w:rsid w:val="00163EAC"/>
    <w:rsid w:val="00163EC9"/>
    <w:rsid w:val="00163F3E"/>
    <w:rsid w:val="00164409"/>
    <w:rsid w:val="0016469B"/>
    <w:rsid w:val="00164F9A"/>
    <w:rsid w:val="001654DF"/>
    <w:rsid w:val="00165602"/>
    <w:rsid w:val="00166361"/>
    <w:rsid w:val="0016698A"/>
    <w:rsid w:val="00167669"/>
    <w:rsid w:val="001679A2"/>
    <w:rsid w:val="00167BAA"/>
    <w:rsid w:val="00167C50"/>
    <w:rsid w:val="00167CE1"/>
    <w:rsid w:val="00170838"/>
    <w:rsid w:val="001712F4"/>
    <w:rsid w:val="001719C8"/>
    <w:rsid w:val="00171A3F"/>
    <w:rsid w:val="00171C3B"/>
    <w:rsid w:val="00172096"/>
    <w:rsid w:val="0017259D"/>
    <w:rsid w:val="0017276F"/>
    <w:rsid w:val="0017288F"/>
    <w:rsid w:val="00172C7A"/>
    <w:rsid w:val="00172FFB"/>
    <w:rsid w:val="001730A7"/>
    <w:rsid w:val="00173199"/>
    <w:rsid w:val="001737F8"/>
    <w:rsid w:val="00173C38"/>
    <w:rsid w:val="00175523"/>
    <w:rsid w:val="00175993"/>
    <w:rsid w:val="00176838"/>
    <w:rsid w:val="00176E57"/>
    <w:rsid w:val="0017734D"/>
    <w:rsid w:val="00177556"/>
    <w:rsid w:val="00177DCB"/>
    <w:rsid w:val="00180632"/>
    <w:rsid w:val="00180C13"/>
    <w:rsid w:val="00180F3D"/>
    <w:rsid w:val="0018117D"/>
    <w:rsid w:val="001815FC"/>
    <w:rsid w:val="00181F18"/>
    <w:rsid w:val="001822C2"/>
    <w:rsid w:val="00182505"/>
    <w:rsid w:val="001825B1"/>
    <w:rsid w:val="001827C8"/>
    <w:rsid w:val="001829D8"/>
    <w:rsid w:val="00182DC9"/>
    <w:rsid w:val="00182FAA"/>
    <w:rsid w:val="00183223"/>
    <w:rsid w:val="00183280"/>
    <w:rsid w:val="001834CD"/>
    <w:rsid w:val="001834FB"/>
    <w:rsid w:val="001847F0"/>
    <w:rsid w:val="001849F3"/>
    <w:rsid w:val="00184B00"/>
    <w:rsid w:val="00184CAC"/>
    <w:rsid w:val="00184D3D"/>
    <w:rsid w:val="00184D8C"/>
    <w:rsid w:val="00185381"/>
    <w:rsid w:val="0018575E"/>
    <w:rsid w:val="00185C3A"/>
    <w:rsid w:val="00186583"/>
    <w:rsid w:val="001867C6"/>
    <w:rsid w:val="00186A4F"/>
    <w:rsid w:val="0018775E"/>
    <w:rsid w:val="00187F23"/>
    <w:rsid w:val="001906E5"/>
    <w:rsid w:val="00190B46"/>
    <w:rsid w:val="001915A3"/>
    <w:rsid w:val="00191706"/>
    <w:rsid w:val="00191F26"/>
    <w:rsid w:val="0019218B"/>
    <w:rsid w:val="00192707"/>
    <w:rsid w:val="00192993"/>
    <w:rsid w:val="00192BFA"/>
    <w:rsid w:val="0019348B"/>
    <w:rsid w:val="0019356C"/>
    <w:rsid w:val="0019400A"/>
    <w:rsid w:val="001940D6"/>
    <w:rsid w:val="00194D1D"/>
    <w:rsid w:val="00194F10"/>
    <w:rsid w:val="00195FA9"/>
    <w:rsid w:val="00196512"/>
    <w:rsid w:val="001973B1"/>
    <w:rsid w:val="001978BF"/>
    <w:rsid w:val="001A0AA7"/>
    <w:rsid w:val="001A0DD4"/>
    <w:rsid w:val="001A10E7"/>
    <w:rsid w:val="001A1175"/>
    <w:rsid w:val="001A142B"/>
    <w:rsid w:val="001A185E"/>
    <w:rsid w:val="001A1CE7"/>
    <w:rsid w:val="001A1EC9"/>
    <w:rsid w:val="001A2245"/>
    <w:rsid w:val="001A2D22"/>
    <w:rsid w:val="001A2D96"/>
    <w:rsid w:val="001A30BE"/>
    <w:rsid w:val="001A327C"/>
    <w:rsid w:val="001A35D3"/>
    <w:rsid w:val="001A4399"/>
    <w:rsid w:val="001A4A63"/>
    <w:rsid w:val="001A5544"/>
    <w:rsid w:val="001A564E"/>
    <w:rsid w:val="001A581C"/>
    <w:rsid w:val="001A5A8A"/>
    <w:rsid w:val="001A5C32"/>
    <w:rsid w:val="001A5F18"/>
    <w:rsid w:val="001A5FEB"/>
    <w:rsid w:val="001A60BB"/>
    <w:rsid w:val="001A6C73"/>
    <w:rsid w:val="001A716F"/>
    <w:rsid w:val="001A71C1"/>
    <w:rsid w:val="001A773D"/>
    <w:rsid w:val="001A7B1E"/>
    <w:rsid w:val="001B01A2"/>
    <w:rsid w:val="001B0476"/>
    <w:rsid w:val="001B0D80"/>
    <w:rsid w:val="001B0FBC"/>
    <w:rsid w:val="001B1033"/>
    <w:rsid w:val="001B10FE"/>
    <w:rsid w:val="001B122A"/>
    <w:rsid w:val="001B1289"/>
    <w:rsid w:val="001B139E"/>
    <w:rsid w:val="001B292E"/>
    <w:rsid w:val="001B2A71"/>
    <w:rsid w:val="001B2B27"/>
    <w:rsid w:val="001B3083"/>
    <w:rsid w:val="001B38EE"/>
    <w:rsid w:val="001B4830"/>
    <w:rsid w:val="001B4910"/>
    <w:rsid w:val="001B4B0A"/>
    <w:rsid w:val="001B4E4E"/>
    <w:rsid w:val="001B5E20"/>
    <w:rsid w:val="001B60D9"/>
    <w:rsid w:val="001B68B2"/>
    <w:rsid w:val="001B6AB6"/>
    <w:rsid w:val="001B6FD1"/>
    <w:rsid w:val="001B7D10"/>
    <w:rsid w:val="001C04D5"/>
    <w:rsid w:val="001C07AB"/>
    <w:rsid w:val="001C0B27"/>
    <w:rsid w:val="001C1353"/>
    <w:rsid w:val="001C1574"/>
    <w:rsid w:val="001C22EB"/>
    <w:rsid w:val="001C23C8"/>
    <w:rsid w:val="001C2A00"/>
    <w:rsid w:val="001C3228"/>
    <w:rsid w:val="001C3289"/>
    <w:rsid w:val="001C338C"/>
    <w:rsid w:val="001C408D"/>
    <w:rsid w:val="001C4574"/>
    <w:rsid w:val="001C47B6"/>
    <w:rsid w:val="001C4C59"/>
    <w:rsid w:val="001C4FCE"/>
    <w:rsid w:val="001C548A"/>
    <w:rsid w:val="001C59CC"/>
    <w:rsid w:val="001C6067"/>
    <w:rsid w:val="001C6E33"/>
    <w:rsid w:val="001C7258"/>
    <w:rsid w:val="001C72A2"/>
    <w:rsid w:val="001C7854"/>
    <w:rsid w:val="001D0C9F"/>
    <w:rsid w:val="001D0D2E"/>
    <w:rsid w:val="001D1419"/>
    <w:rsid w:val="001D15E8"/>
    <w:rsid w:val="001D1669"/>
    <w:rsid w:val="001D4B9C"/>
    <w:rsid w:val="001D4C10"/>
    <w:rsid w:val="001D4C13"/>
    <w:rsid w:val="001D579E"/>
    <w:rsid w:val="001D59FF"/>
    <w:rsid w:val="001D62D6"/>
    <w:rsid w:val="001D66AD"/>
    <w:rsid w:val="001D6A44"/>
    <w:rsid w:val="001D79DC"/>
    <w:rsid w:val="001D7F62"/>
    <w:rsid w:val="001E0139"/>
    <w:rsid w:val="001E0142"/>
    <w:rsid w:val="001E059A"/>
    <w:rsid w:val="001E18B4"/>
    <w:rsid w:val="001E1991"/>
    <w:rsid w:val="001E288B"/>
    <w:rsid w:val="001E2E57"/>
    <w:rsid w:val="001E31B7"/>
    <w:rsid w:val="001E32C6"/>
    <w:rsid w:val="001E38F3"/>
    <w:rsid w:val="001E572C"/>
    <w:rsid w:val="001E6371"/>
    <w:rsid w:val="001E745F"/>
    <w:rsid w:val="001E76DB"/>
    <w:rsid w:val="001F04D4"/>
    <w:rsid w:val="001F096B"/>
    <w:rsid w:val="001F0CAD"/>
    <w:rsid w:val="001F1513"/>
    <w:rsid w:val="001F15B9"/>
    <w:rsid w:val="001F176B"/>
    <w:rsid w:val="001F21BC"/>
    <w:rsid w:val="001F220F"/>
    <w:rsid w:val="001F2293"/>
    <w:rsid w:val="001F2855"/>
    <w:rsid w:val="001F33CC"/>
    <w:rsid w:val="001F3965"/>
    <w:rsid w:val="001F4444"/>
    <w:rsid w:val="001F477B"/>
    <w:rsid w:val="001F5077"/>
    <w:rsid w:val="001F5215"/>
    <w:rsid w:val="001F5472"/>
    <w:rsid w:val="001F65A9"/>
    <w:rsid w:val="001F6DA9"/>
    <w:rsid w:val="001F6E57"/>
    <w:rsid w:val="001F7071"/>
    <w:rsid w:val="001F77D6"/>
    <w:rsid w:val="0020004B"/>
    <w:rsid w:val="002004FE"/>
    <w:rsid w:val="002009AB"/>
    <w:rsid w:val="00200CEB"/>
    <w:rsid w:val="00200DBB"/>
    <w:rsid w:val="00201B06"/>
    <w:rsid w:val="00203122"/>
    <w:rsid w:val="0020314C"/>
    <w:rsid w:val="00204530"/>
    <w:rsid w:val="00204A7B"/>
    <w:rsid w:val="00204F5E"/>
    <w:rsid w:val="00204FDD"/>
    <w:rsid w:val="00205528"/>
    <w:rsid w:val="0020570B"/>
    <w:rsid w:val="00205A79"/>
    <w:rsid w:val="00205D96"/>
    <w:rsid w:val="00206802"/>
    <w:rsid w:val="00206871"/>
    <w:rsid w:val="00206968"/>
    <w:rsid w:val="00206A23"/>
    <w:rsid w:val="002108C5"/>
    <w:rsid w:val="00210C71"/>
    <w:rsid w:val="002116A4"/>
    <w:rsid w:val="00212489"/>
    <w:rsid w:val="00212FAA"/>
    <w:rsid w:val="002137AC"/>
    <w:rsid w:val="00213B0C"/>
    <w:rsid w:val="002140CE"/>
    <w:rsid w:val="00214783"/>
    <w:rsid w:val="00215167"/>
    <w:rsid w:val="00215711"/>
    <w:rsid w:val="00215917"/>
    <w:rsid w:val="0021611D"/>
    <w:rsid w:val="00216130"/>
    <w:rsid w:val="0021673D"/>
    <w:rsid w:val="00216932"/>
    <w:rsid w:val="002169B2"/>
    <w:rsid w:val="00216DFB"/>
    <w:rsid w:val="002172E1"/>
    <w:rsid w:val="002174C3"/>
    <w:rsid w:val="002179B3"/>
    <w:rsid w:val="00217D90"/>
    <w:rsid w:val="00217E7D"/>
    <w:rsid w:val="00217E95"/>
    <w:rsid w:val="00220142"/>
    <w:rsid w:val="00220B17"/>
    <w:rsid w:val="00221DF4"/>
    <w:rsid w:val="00221E6A"/>
    <w:rsid w:val="00221F44"/>
    <w:rsid w:val="002227CF"/>
    <w:rsid w:val="00222B21"/>
    <w:rsid w:val="00222E11"/>
    <w:rsid w:val="002232FD"/>
    <w:rsid w:val="00224C25"/>
    <w:rsid w:val="00224C62"/>
    <w:rsid w:val="002257E9"/>
    <w:rsid w:val="00225A5A"/>
    <w:rsid w:val="00226714"/>
    <w:rsid w:val="00226E93"/>
    <w:rsid w:val="0022715C"/>
    <w:rsid w:val="00227517"/>
    <w:rsid w:val="00227BA4"/>
    <w:rsid w:val="00230AA4"/>
    <w:rsid w:val="00230E56"/>
    <w:rsid w:val="00230E8C"/>
    <w:rsid w:val="00230F4F"/>
    <w:rsid w:val="0023119E"/>
    <w:rsid w:val="002311C6"/>
    <w:rsid w:val="002316E5"/>
    <w:rsid w:val="00231BCD"/>
    <w:rsid w:val="0023211E"/>
    <w:rsid w:val="00232FCA"/>
    <w:rsid w:val="0023303B"/>
    <w:rsid w:val="00233BB2"/>
    <w:rsid w:val="002346A9"/>
    <w:rsid w:val="00234A80"/>
    <w:rsid w:val="00234E56"/>
    <w:rsid w:val="0023575B"/>
    <w:rsid w:val="00235A70"/>
    <w:rsid w:val="00235DFF"/>
    <w:rsid w:val="00236B5F"/>
    <w:rsid w:val="00237139"/>
    <w:rsid w:val="0023765F"/>
    <w:rsid w:val="00237BB6"/>
    <w:rsid w:val="00237CC7"/>
    <w:rsid w:val="00237FA7"/>
    <w:rsid w:val="00240233"/>
    <w:rsid w:val="002408C5"/>
    <w:rsid w:val="002409EB"/>
    <w:rsid w:val="00240A2C"/>
    <w:rsid w:val="00240BF6"/>
    <w:rsid w:val="00241458"/>
    <w:rsid w:val="002423D6"/>
    <w:rsid w:val="002425EF"/>
    <w:rsid w:val="002426F0"/>
    <w:rsid w:val="00242888"/>
    <w:rsid w:val="00243474"/>
    <w:rsid w:val="00243E81"/>
    <w:rsid w:val="0024498C"/>
    <w:rsid w:val="002449BA"/>
    <w:rsid w:val="00244AE7"/>
    <w:rsid w:val="00245FB5"/>
    <w:rsid w:val="002460C7"/>
    <w:rsid w:val="002463A4"/>
    <w:rsid w:val="002465B8"/>
    <w:rsid w:val="002465DB"/>
    <w:rsid w:val="00246636"/>
    <w:rsid w:val="002467E1"/>
    <w:rsid w:val="0024685F"/>
    <w:rsid w:val="002468AE"/>
    <w:rsid w:val="00246950"/>
    <w:rsid w:val="00247379"/>
    <w:rsid w:val="00247816"/>
    <w:rsid w:val="0024791A"/>
    <w:rsid w:val="002479B5"/>
    <w:rsid w:val="00250121"/>
    <w:rsid w:val="002501C2"/>
    <w:rsid w:val="0025076F"/>
    <w:rsid w:val="00250A09"/>
    <w:rsid w:val="00250A62"/>
    <w:rsid w:val="00251574"/>
    <w:rsid w:val="00251C4F"/>
    <w:rsid w:val="00251F38"/>
    <w:rsid w:val="002527F0"/>
    <w:rsid w:val="00252DCD"/>
    <w:rsid w:val="00254511"/>
    <w:rsid w:val="00254DBD"/>
    <w:rsid w:val="002551A5"/>
    <w:rsid w:val="00255D43"/>
    <w:rsid w:val="00255E36"/>
    <w:rsid w:val="002560D7"/>
    <w:rsid w:val="002561DB"/>
    <w:rsid w:val="002569DB"/>
    <w:rsid w:val="00257440"/>
    <w:rsid w:val="0025767A"/>
    <w:rsid w:val="002577CC"/>
    <w:rsid w:val="002579A0"/>
    <w:rsid w:val="0026115E"/>
    <w:rsid w:val="002611A8"/>
    <w:rsid w:val="002616D6"/>
    <w:rsid w:val="00261749"/>
    <w:rsid w:val="00261DEA"/>
    <w:rsid w:val="00262053"/>
    <w:rsid w:val="002623C5"/>
    <w:rsid w:val="00263356"/>
    <w:rsid w:val="00263801"/>
    <w:rsid w:val="00264535"/>
    <w:rsid w:val="00264AC8"/>
    <w:rsid w:val="00265844"/>
    <w:rsid w:val="00265A9D"/>
    <w:rsid w:val="002661C1"/>
    <w:rsid w:val="00266200"/>
    <w:rsid w:val="00266350"/>
    <w:rsid w:val="00266AB4"/>
    <w:rsid w:val="0027056C"/>
    <w:rsid w:val="00271064"/>
    <w:rsid w:val="0027177B"/>
    <w:rsid w:val="00271CF1"/>
    <w:rsid w:val="00272249"/>
    <w:rsid w:val="00272888"/>
    <w:rsid w:val="002734D5"/>
    <w:rsid w:val="002736B5"/>
    <w:rsid w:val="002736B9"/>
    <w:rsid w:val="00274051"/>
    <w:rsid w:val="00275384"/>
    <w:rsid w:val="00275A85"/>
    <w:rsid w:val="00275AFA"/>
    <w:rsid w:val="0027692B"/>
    <w:rsid w:val="0027704B"/>
    <w:rsid w:val="00277300"/>
    <w:rsid w:val="00280613"/>
    <w:rsid w:val="00280F6B"/>
    <w:rsid w:val="0028109E"/>
    <w:rsid w:val="00281723"/>
    <w:rsid w:val="00282115"/>
    <w:rsid w:val="00282DA8"/>
    <w:rsid w:val="00284972"/>
    <w:rsid w:val="0028559A"/>
    <w:rsid w:val="00286130"/>
    <w:rsid w:val="00286953"/>
    <w:rsid w:val="00286CEB"/>
    <w:rsid w:val="00287732"/>
    <w:rsid w:val="00287A1C"/>
    <w:rsid w:val="00287ADA"/>
    <w:rsid w:val="002902AC"/>
    <w:rsid w:val="0029031F"/>
    <w:rsid w:val="00290671"/>
    <w:rsid w:val="002911BF"/>
    <w:rsid w:val="00291723"/>
    <w:rsid w:val="0029187E"/>
    <w:rsid w:val="00291DC5"/>
    <w:rsid w:val="00292459"/>
    <w:rsid w:val="002935D9"/>
    <w:rsid w:val="0029363F"/>
    <w:rsid w:val="002938DC"/>
    <w:rsid w:val="00293BEA"/>
    <w:rsid w:val="0029413A"/>
    <w:rsid w:val="00294307"/>
    <w:rsid w:val="00294734"/>
    <w:rsid w:val="00294EB9"/>
    <w:rsid w:val="00295012"/>
    <w:rsid w:val="002954C3"/>
    <w:rsid w:val="00295718"/>
    <w:rsid w:val="0029690F"/>
    <w:rsid w:val="00296E6A"/>
    <w:rsid w:val="002971BE"/>
    <w:rsid w:val="00297668"/>
    <w:rsid w:val="00297A88"/>
    <w:rsid w:val="002A02A5"/>
    <w:rsid w:val="002A0926"/>
    <w:rsid w:val="002A0BF9"/>
    <w:rsid w:val="002A0DC3"/>
    <w:rsid w:val="002A1033"/>
    <w:rsid w:val="002A21D2"/>
    <w:rsid w:val="002A2C77"/>
    <w:rsid w:val="002A2E81"/>
    <w:rsid w:val="002A4DF4"/>
    <w:rsid w:val="002A4F8C"/>
    <w:rsid w:val="002A55CD"/>
    <w:rsid w:val="002A5D00"/>
    <w:rsid w:val="002A6070"/>
    <w:rsid w:val="002A66CA"/>
    <w:rsid w:val="002A6C9D"/>
    <w:rsid w:val="002A7A13"/>
    <w:rsid w:val="002B07B4"/>
    <w:rsid w:val="002B09E4"/>
    <w:rsid w:val="002B1072"/>
    <w:rsid w:val="002B1240"/>
    <w:rsid w:val="002B1A8C"/>
    <w:rsid w:val="002B2496"/>
    <w:rsid w:val="002B25BC"/>
    <w:rsid w:val="002B2639"/>
    <w:rsid w:val="002B2A37"/>
    <w:rsid w:val="002B32DD"/>
    <w:rsid w:val="002B33D5"/>
    <w:rsid w:val="002B3731"/>
    <w:rsid w:val="002B3DC1"/>
    <w:rsid w:val="002B3FC6"/>
    <w:rsid w:val="002B402E"/>
    <w:rsid w:val="002B419B"/>
    <w:rsid w:val="002B4207"/>
    <w:rsid w:val="002B4D93"/>
    <w:rsid w:val="002B4EC7"/>
    <w:rsid w:val="002B53BD"/>
    <w:rsid w:val="002B5528"/>
    <w:rsid w:val="002B559A"/>
    <w:rsid w:val="002B64CC"/>
    <w:rsid w:val="002B661E"/>
    <w:rsid w:val="002B7111"/>
    <w:rsid w:val="002C005E"/>
    <w:rsid w:val="002C0377"/>
    <w:rsid w:val="002C0E45"/>
    <w:rsid w:val="002C1F61"/>
    <w:rsid w:val="002C263B"/>
    <w:rsid w:val="002C286F"/>
    <w:rsid w:val="002C294D"/>
    <w:rsid w:val="002C35C2"/>
    <w:rsid w:val="002C3951"/>
    <w:rsid w:val="002C3AAD"/>
    <w:rsid w:val="002C4D2C"/>
    <w:rsid w:val="002C559B"/>
    <w:rsid w:val="002C58A8"/>
    <w:rsid w:val="002C5B49"/>
    <w:rsid w:val="002C6D70"/>
    <w:rsid w:val="002C6EC2"/>
    <w:rsid w:val="002C7045"/>
    <w:rsid w:val="002C72E7"/>
    <w:rsid w:val="002D026E"/>
    <w:rsid w:val="002D0323"/>
    <w:rsid w:val="002D1C5C"/>
    <w:rsid w:val="002D29F1"/>
    <w:rsid w:val="002D2BCC"/>
    <w:rsid w:val="002D31E5"/>
    <w:rsid w:val="002D350A"/>
    <w:rsid w:val="002D3623"/>
    <w:rsid w:val="002D37BC"/>
    <w:rsid w:val="002D37F2"/>
    <w:rsid w:val="002D4BF8"/>
    <w:rsid w:val="002D4D4F"/>
    <w:rsid w:val="002D4D6D"/>
    <w:rsid w:val="002D5C30"/>
    <w:rsid w:val="002D5C5E"/>
    <w:rsid w:val="002D63B7"/>
    <w:rsid w:val="002D6A1B"/>
    <w:rsid w:val="002D6E7E"/>
    <w:rsid w:val="002D743D"/>
    <w:rsid w:val="002D77AF"/>
    <w:rsid w:val="002D7DB0"/>
    <w:rsid w:val="002E0579"/>
    <w:rsid w:val="002E0937"/>
    <w:rsid w:val="002E0E15"/>
    <w:rsid w:val="002E25C5"/>
    <w:rsid w:val="002E2A9B"/>
    <w:rsid w:val="002E3467"/>
    <w:rsid w:val="002E3D49"/>
    <w:rsid w:val="002E3D5D"/>
    <w:rsid w:val="002E4B69"/>
    <w:rsid w:val="002E56A1"/>
    <w:rsid w:val="002E6503"/>
    <w:rsid w:val="002E7433"/>
    <w:rsid w:val="002E7791"/>
    <w:rsid w:val="002F0A01"/>
    <w:rsid w:val="002F110D"/>
    <w:rsid w:val="002F120E"/>
    <w:rsid w:val="002F12C7"/>
    <w:rsid w:val="002F150A"/>
    <w:rsid w:val="002F1557"/>
    <w:rsid w:val="002F1884"/>
    <w:rsid w:val="002F19F1"/>
    <w:rsid w:val="002F1F79"/>
    <w:rsid w:val="002F2197"/>
    <w:rsid w:val="002F2790"/>
    <w:rsid w:val="002F29E1"/>
    <w:rsid w:val="002F2ACD"/>
    <w:rsid w:val="002F2C15"/>
    <w:rsid w:val="002F2EB3"/>
    <w:rsid w:val="002F4A87"/>
    <w:rsid w:val="002F5371"/>
    <w:rsid w:val="002F5734"/>
    <w:rsid w:val="002F5F48"/>
    <w:rsid w:val="002F6751"/>
    <w:rsid w:val="002F6879"/>
    <w:rsid w:val="002F7F20"/>
    <w:rsid w:val="003010A9"/>
    <w:rsid w:val="003014DE"/>
    <w:rsid w:val="00301A36"/>
    <w:rsid w:val="00301A62"/>
    <w:rsid w:val="00301BDF"/>
    <w:rsid w:val="00301F5D"/>
    <w:rsid w:val="00302025"/>
    <w:rsid w:val="003026BD"/>
    <w:rsid w:val="00302741"/>
    <w:rsid w:val="003029C7"/>
    <w:rsid w:val="00303F9F"/>
    <w:rsid w:val="00304113"/>
    <w:rsid w:val="0030457B"/>
    <w:rsid w:val="003051A5"/>
    <w:rsid w:val="00305475"/>
    <w:rsid w:val="00305DB1"/>
    <w:rsid w:val="00305DD7"/>
    <w:rsid w:val="00306CCB"/>
    <w:rsid w:val="00307261"/>
    <w:rsid w:val="0030777F"/>
    <w:rsid w:val="00307DBD"/>
    <w:rsid w:val="00307FBB"/>
    <w:rsid w:val="00310202"/>
    <w:rsid w:val="0031070B"/>
    <w:rsid w:val="00310B64"/>
    <w:rsid w:val="00310EFB"/>
    <w:rsid w:val="00310FF9"/>
    <w:rsid w:val="003110BC"/>
    <w:rsid w:val="003112D1"/>
    <w:rsid w:val="0031137E"/>
    <w:rsid w:val="00311F05"/>
    <w:rsid w:val="00312795"/>
    <w:rsid w:val="00312CA8"/>
    <w:rsid w:val="00312D01"/>
    <w:rsid w:val="00313417"/>
    <w:rsid w:val="00313A39"/>
    <w:rsid w:val="00313A65"/>
    <w:rsid w:val="00314A4B"/>
    <w:rsid w:val="0031513E"/>
    <w:rsid w:val="0031549B"/>
    <w:rsid w:val="003154BB"/>
    <w:rsid w:val="0031577C"/>
    <w:rsid w:val="003159CA"/>
    <w:rsid w:val="003159ED"/>
    <w:rsid w:val="003160C3"/>
    <w:rsid w:val="003162B1"/>
    <w:rsid w:val="003163A1"/>
    <w:rsid w:val="0031685E"/>
    <w:rsid w:val="003169E8"/>
    <w:rsid w:val="00316BA1"/>
    <w:rsid w:val="00316D24"/>
    <w:rsid w:val="00316E4F"/>
    <w:rsid w:val="00316FEA"/>
    <w:rsid w:val="003171F9"/>
    <w:rsid w:val="00317C80"/>
    <w:rsid w:val="00317D80"/>
    <w:rsid w:val="00320115"/>
    <w:rsid w:val="00320167"/>
    <w:rsid w:val="00321171"/>
    <w:rsid w:val="00321B9D"/>
    <w:rsid w:val="00321E3A"/>
    <w:rsid w:val="00321EA4"/>
    <w:rsid w:val="00321F0D"/>
    <w:rsid w:val="003220D6"/>
    <w:rsid w:val="003222A6"/>
    <w:rsid w:val="00322B36"/>
    <w:rsid w:val="00322BCB"/>
    <w:rsid w:val="00322E5F"/>
    <w:rsid w:val="003234D9"/>
    <w:rsid w:val="0032364D"/>
    <w:rsid w:val="00323815"/>
    <w:rsid w:val="00323AD5"/>
    <w:rsid w:val="00323E37"/>
    <w:rsid w:val="0032429D"/>
    <w:rsid w:val="0032458A"/>
    <w:rsid w:val="00324A24"/>
    <w:rsid w:val="00324ABE"/>
    <w:rsid w:val="00324C27"/>
    <w:rsid w:val="003256E7"/>
    <w:rsid w:val="00326921"/>
    <w:rsid w:val="003271E6"/>
    <w:rsid w:val="003272AC"/>
    <w:rsid w:val="003279D9"/>
    <w:rsid w:val="0033013F"/>
    <w:rsid w:val="00330A08"/>
    <w:rsid w:val="00330B2A"/>
    <w:rsid w:val="00331067"/>
    <w:rsid w:val="0033119D"/>
    <w:rsid w:val="003314F6"/>
    <w:rsid w:val="003314FF"/>
    <w:rsid w:val="00331BA0"/>
    <w:rsid w:val="00331BC3"/>
    <w:rsid w:val="00331CF9"/>
    <w:rsid w:val="00331F44"/>
    <w:rsid w:val="00331F81"/>
    <w:rsid w:val="003322B4"/>
    <w:rsid w:val="00332789"/>
    <w:rsid w:val="00333FD7"/>
    <w:rsid w:val="00334311"/>
    <w:rsid w:val="003346E1"/>
    <w:rsid w:val="00335211"/>
    <w:rsid w:val="00335AF8"/>
    <w:rsid w:val="00337A14"/>
    <w:rsid w:val="00337E1E"/>
    <w:rsid w:val="003400D9"/>
    <w:rsid w:val="003402D4"/>
    <w:rsid w:val="0034219A"/>
    <w:rsid w:val="003425AB"/>
    <w:rsid w:val="003431F5"/>
    <w:rsid w:val="0034325B"/>
    <w:rsid w:val="003437D0"/>
    <w:rsid w:val="003437DF"/>
    <w:rsid w:val="00343DBF"/>
    <w:rsid w:val="003443E2"/>
    <w:rsid w:val="003447D7"/>
    <w:rsid w:val="00344B6A"/>
    <w:rsid w:val="00344CB0"/>
    <w:rsid w:val="00344EE8"/>
    <w:rsid w:val="00344FDD"/>
    <w:rsid w:val="003456E5"/>
    <w:rsid w:val="00345721"/>
    <w:rsid w:val="00346520"/>
    <w:rsid w:val="003465CC"/>
    <w:rsid w:val="003465CD"/>
    <w:rsid w:val="00346781"/>
    <w:rsid w:val="00346DC8"/>
    <w:rsid w:val="0034765B"/>
    <w:rsid w:val="00347ABC"/>
    <w:rsid w:val="00347F03"/>
    <w:rsid w:val="00347F52"/>
    <w:rsid w:val="00350389"/>
    <w:rsid w:val="00350440"/>
    <w:rsid w:val="00350AC9"/>
    <w:rsid w:val="00351CAB"/>
    <w:rsid w:val="00352308"/>
    <w:rsid w:val="0035257F"/>
    <w:rsid w:val="00353311"/>
    <w:rsid w:val="003533C8"/>
    <w:rsid w:val="00353555"/>
    <w:rsid w:val="003536A9"/>
    <w:rsid w:val="003537AE"/>
    <w:rsid w:val="00353D89"/>
    <w:rsid w:val="00354D18"/>
    <w:rsid w:val="00355691"/>
    <w:rsid w:val="00356BDD"/>
    <w:rsid w:val="00357378"/>
    <w:rsid w:val="00360186"/>
    <w:rsid w:val="00360D70"/>
    <w:rsid w:val="00361954"/>
    <w:rsid w:val="00362252"/>
    <w:rsid w:val="003623FB"/>
    <w:rsid w:val="003625EE"/>
    <w:rsid w:val="003626F3"/>
    <w:rsid w:val="00362A4A"/>
    <w:rsid w:val="0036315A"/>
    <w:rsid w:val="00363D94"/>
    <w:rsid w:val="00364288"/>
    <w:rsid w:val="003642D2"/>
    <w:rsid w:val="0036507B"/>
    <w:rsid w:val="00365A1B"/>
    <w:rsid w:val="00365E2F"/>
    <w:rsid w:val="00365F6C"/>
    <w:rsid w:val="00366137"/>
    <w:rsid w:val="003670D7"/>
    <w:rsid w:val="003675DD"/>
    <w:rsid w:val="00367CE7"/>
    <w:rsid w:val="00370299"/>
    <w:rsid w:val="00370895"/>
    <w:rsid w:val="00370F05"/>
    <w:rsid w:val="00371888"/>
    <w:rsid w:val="00371FD7"/>
    <w:rsid w:val="0037258B"/>
    <w:rsid w:val="0037313F"/>
    <w:rsid w:val="00373617"/>
    <w:rsid w:val="00373901"/>
    <w:rsid w:val="0037421E"/>
    <w:rsid w:val="0037458C"/>
    <w:rsid w:val="00374DE3"/>
    <w:rsid w:val="00375360"/>
    <w:rsid w:val="003757FB"/>
    <w:rsid w:val="00376A50"/>
    <w:rsid w:val="00380806"/>
    <w:rsid w:val="00380B6E"/>
    <w:rsid w:val="0038117D"/>
    <w:rsid w:val="00381FBE"/>
    <w:rsid w:val="0038241C"/>
    <w:rsid w:val="00382927"/>
    <w:rsid w:val="00382CBF"/>
    <w:rsid w:val="00382E21"/>
    <w:rsid w:val="00382E3C"/>
    <w:rsid w:val="00382F3C"/>
    <w:rsid w:val="00383A9B"/>
    <w:rsid w:val="003841D3"/>
    <w:rsid w:val="00384717"/>
    <w:rsid w:val="00384734"/>
    <w:rsid w:val="003851DF"/>
    <w:rsid w:val="0038536A"/>
    <w:rsid w:val="00386AE7"/>
    <w:rsid w:val="00386BDE"/>
    <w:rsid w:val="00386F4A"/>
    <w:rsid w:val="0038773B"/>
    <w:rsid w:val="00387D60"/>
    <w:rsid w:val="00387FF4"/>
    <w:rsid w:val="003901AF"/>
    <w:rsid w:val="003901DE"/>
    <w:rsid w:val="003906A9"/>
    <w:rsid w:val="003908B5"/>
    <w:rsid w:val="003909B5"/>
    <w:rsid w:val="00390A41"/>
    <w:rsid w:val="003913D3"/>
    <w:rsid w:val="00392B81"/>
    <w:rsid w:val="00392CBC"/>
    <w:rsid w:val="00392FF5"/>
    <w:rsid w:val="003930A1"/>
    <w:rsid w:val="00393BDA"/>
    <w:rsid w:val="00393CAA"/>
    <w:rsid w:val="00394761"/>
    <w:rsid w:val="00394882"/>
    <w:rsid w:val="00395559"/>
    <w:rsid w:val="0039623E"/>
    <w:rsid w:val="00396F50"/>
    <w:rsid w:val="003975A5"/>
    <w:rsid w:val="00397994"/>
    <w:rsid w:val="00397FA1"/>
    <w:rsid w:val="003A1121"/>
    <w:rsid w:val="003A1575"/>
    <w:rsid w:val="003A18A9"/>
    <w:rsid w:val="003A1FE2"/>
    <w:rsid w:val="003A2032"/>
    <w:rsid w:val="003A2034"/>
    <w:rsid w:val="003A22FD"/>
    <w:rsid w:val="003A24B3"/>
    <w:rsid w:val="003A283E"/>
    <w:rsid w:val="003A2C73"/>
    <w:rsid w:val="003A2CAF"/>
    <w:rsid w:val="003A2F06"/>
    <w:rsid w:val="003A34BB"/>
    <w:rsid w:val="003A4D14"/>
    <w:rsid w:val="003A56A0"/>
    <w:rsid w:val="003A6141"/>
    <w:rsid w:val="003A6FAB"/>
    <w:rsid w:val="003A7084"/>
    <w:rsid w:val="003A7634"/>
    <w:rsid w:val="003A7649"/>
    <w:rsid w:val="003A7B89"/>
    <w:rsid w:val="003B034C"/>
    <w:rsid w:val="003B0862"/>
    <w:rsid w:val="003B0A2E"/>
    <w:rsid w:val="003B177D"/>
    <w:rsid w:val="003B25A6"/>
    <w:rsid w:val="003B3197"/>
    <w:rsid w:val="003B33F4"/>
    <w:rsid w:val="003B3509"/>
    <w:rsid w:val="003B3703"/>
    <w:rsid w:val="003B37C7"/>
    <w:rsid w:val="003B406F"/>
    <w:rsid w:val="003B4531"/>
    <w:rsid w:val="003B4953"/>
    <w:rsid w:val="003B5764"/>
    <w:rsid w:val="003B5C5E"/>
    <w:rsid w:val="003B5C80"/>
    <w:rsid w:val="003B6C95"/>
    <w:rsid w:val="003B771A"/>
    <w:rsid w:val="003B77FA"/>
    <w:rsid w:val="003C02E2"/>
    <w:rsid w:val="003C03D7"/>
    <w:rsid w:val="003C05A9"/>
    <w:rsid w:val="003C0FCE"/>
    <w:rsid w:val="003C11D1"/>
    <w:rsid w:val="003C1643"/>
    <w:rsid w:val="003C17B7"/>
    <w:rsid w:val="003C1E73"/>
    <w:rsid w:val="003C1EB2"/>
    <w:rsid w:val="003C2780"/>
    <w:rsid w:val="003C2B81"/>
    <w:rsid w:val="003C41A8"/>
    <w:rsid w:val="003C48AC"/>
    <w:rsid w:val="003C4A4E"/>
    <w:rsid w:val="003C4C49"/>
    <w:rsid w:val="003C4CB8"/>
    <w:rsid w:val="003C4F8E"/>
    <w:rsid w:val="003C5502"/>
    <w:rsid w:val="003C5F3E"/>
    <w:rsid w:val="003C5F8E"/>
    <w:rsid w:val="003C607B"/>
    <w:rsid w:val="003C6B2A"/>
    <w:rsid w:val="003C7055"/>
    <w:rsid w:val="003C71E1"/>
    <w:rsid w:val="003D02C3"/>
    <w:rsid w:val="003D11B6"/>
    <w:rsid w:val="003D1366"/>
    <w:rsid w:val="003D2181"/>
    <w:rsid w:val="003D24A3"/>
    <w:rsid w:val="003D2860"/>
    <w:rsid w:val="003D320C"/>
    <w:rsid w:val="003D38C1"/>
    <w:rsid w:val="003D3B05"/>
    <w:rsid w:val="003D3D8E"/>
    <w:rsid w:val="003D40D4"/>
    <w:rsid w:val="003D467F"/>
    <w:rsid w:val="003D4F28"/>
    <w:rsid w:val="003D55E5"/>
    <w:rsid w:val="003D5903"/>
    <w:rsid w:val="003D6545"/>
    <w:rsid w:val="003D68F9"/>
    <w:rsid w:val="003D6D6A"/>
    <w:rsid w:val="003D6D9A"/>
    <w:rsid w:val="003D7001"/>
    <w:rsid w:val="003E04DC"/>
    <w:rsid w:val="003E057B"/>
    <w:rsid w:val="003E099E"/>
    <w:rsid w:val="003E1395"/>
    <w:rsid w:val="003E15B6"/>
    <w:rsid w:val="003E1718"/>
    <w:rsid w:val="003E17F2"/>
    <w:rsid w:val="003E1B8A"/>
    <w:rsid w:val="003E1F30"/>
    <w:rsid w:val="003E20C9"/>
    <w:rsid w:val="003E231F"/>
    <w:rsid w:val="003E2669"/>
    <w:rsid w:val="003E2892"/>
    <w:rsid w:val="003E2AE4"/>
    <w:rsid w:val="003E2E7E"/>
    <w:rsid w:val="003E300B"/>
    <w:rsid w:val="003E3E86"/>
    <w:rsid w:val="003E4026"/>
    <w:rsid w:val="003E4258"/>
    <w:rsid w:val="003E45F5"/>
    <w:rsid w:val="003E4A17"/>
    <w:rsid w:val="003E4C20"/>
    <w:rsid w:val="003E5F40"/>
    <w:rsid w:val="003E6565"/>
    <w:rsid w:val="003E6924"/>
    <w:rsid w:val="003E7105"/>
    <w:rsid w:val="003E7B66"/>
    <w:rsid w:val="003F0386"/>
    <w:rsid w:val="003F0777"/>
    <w:rsid w:val="003F115F"/>
    <w:rsid w:val="003F116B"/>
    <w:rsid w:val="003F1525"/>
    <w:rsid w:val="003F1D6D"/>
    <w:rsid w:val="003F1FF7"/>
    <w:rsid w:val="003F248E"/>
    <w:rsid w:val="003F3464"/>
    <w:rsid w:val="003F3A74"/>
    <w:rsid w:val="003F3F93"/>
    <w:rsid w:val="003F4FAD"/>
    <w:rsid w:val="003F57EA"/>
    <w:rsid w:val="003F5C48"/>
    <w:rsid w:val="003F638E"/>
    <w:rsid w:val="003F6673"/>
    <w:rsid w:val="003F6E1B"/>
    <w:rsid w:val="003F756C"/>
    <w:rsid w:val="003F783F"/>
    <w:rsid w:val="003F7BA5"/>
    <w:rsid w:val="003F7D68"/>
    <w:rsid w:val="00400787"/>
    <w:rsid w:val="00401F03"/>
    <w:rsid w:val="00402132"/>
    <w:rsid w:val="00402462"/>
    <w:rsid w:val="00402673"/>
    <w:rsid w:val="00402DCF"/>
    <w:rsid w:val="00402F23"/>
    <w:rsid w:val="0040328C"/>
    <w:rsid w:val="00403F39"/>
    <w:rsid w:val="00404370"/>
    <w:rsid w:val="0040487B"/>
    <w:rsid w:val="00404FA5"/>
    <w:rsid w:val="004050AE"/>
    <w:rsid w:val="00405366"/>
    <w:rsid w:val="00405608"/>
    <w:rsid w:val="00405F22"/>
    <w:rsid w:val="00406A4D"/>
    <w:rsid w:val="004075B2"/>
    <w:rsid w:val="0041026C"/>
    <w:rsid w:val="004105D9"/>
    <w:rsid w:val="00411287"/>
    <w:rsid w:val="00411E4C"/>
    <w:rsid w:val="00412073"/>
    <w:rsid w:val="00413222"/>
    <w:rsid w:val="00414BD2"/>
    <w:rsid w:val="00414E1D"/>
    <w:rsid w:val="00415213"/>
    <w:rsid w:val="004153D3"/>
    <w:rsid w:val="0041549C"/>
    <w:rsid w:val="0041551F"/>
    <w:rsid w:val="00415B80"/>
    <w:rsid w:val="004160F4"/>
    <w:rsid w:val="004164D8"/>
    <w:rsid w:val="004164F3"/>
    <w:rsid w:val="00416785"/>
    <w:rsid w:val="00416A1C"/>
    <w:rsid w:val="00416E51"/>
    <w:rsid w:val="00417079"/>
    <w:rsid w:val="00417508"/>
    <w:rsid w:val="00417739"/>
    <w:rsid w:val="00417AD9"/>
    <w:rsid w:val="00417FEA"/>
    <w:rsid w:val="0042015E"/>
    <w:rsid w:val="004202A7"/>
    <w:rsid w:val="0042073C"/>
    <w:rsid w:val="004207CF"/>
    <w:rsid w:val="00420A94"/>
    <w:rsid w:val="0042100E"/>
    <w:rsid w:val="00421226"/>
    <w:rsid w:val="00422CB6"/>
    <w:rsid w:val="00423106"/>
    <w:rsid w:val="00423BC8"/>
    <w:rsid w:val="00423C93"/>
    <w:rsid w:val="00423D56"/>
    <w:rsid w:val="00423E36"/>
    <w:rsid w:val="004254A9"/>
    <w:rsid w:val="00426454"/>
    <w:rsid w:val="00426B24"/>
    <w:rsid w:val="00426C80"/>
    <w:rsid w:val="00426E0C"/>
    <w:rsid w:val="00426F2C"/>
    <w:rsid w:val="00427EFA"/>
    <w:rsid w:val="00427F03"/>
    <w:rsid w:val="00427F18"/>
    <w:rsid w:val="0043006B"/>
    <w:rsid w:val="00431297"/>
    <w:rsid w:val="004312F0"/>
    <w:rsid w:val="004319EB"/>
    <w:rsid w:val="00432240"/>
    <w:rsid w:val="00433E7B"/>
    <w:rsid w:val="00434135"/>
    <w:rsid w:val="00434732"/>
    <w:rsid w:val="004348F4"/>
    <w:rsid w:val="004350B8"/>
    <w:rsid w:val="00435160"/>
    <w:rsid w:val="004357C0"/>
    <w:rsid w:val="004358F0"/>
    <w:rsid w:val="00435DD7"/>
    <w:rsid w:val="004365B3"/>
    <w:rsid w:val="00436778"/>
    <w:rsid w:val="00436C1A"/>
    <w:rsid w:val="00436C3A"/>
    <w:rsid w:val="00437636"/>
    <w:rsid w:val="00440092"/>
    <w:rsid w:val="00440B7D"/>
    <w:rsid w:val="004418EB"/>
    <w:rsid w:val="004422D0"/>
    <w:rsid w:val="004429B7"/>
    <w:rsid w:val="00443296"/>
    <w:rsid w:val="00443E56"/>
    <w:rsid w:val="00444188"/>
    <w:rsid w:val="0044455D"/>
    <w:rsid w:val="004448AD"/>
    <w:rsid w:val="004448D1"/>
    <w:rsid w:val="004449EF"/>
    <w:rsid w:val="0044522B"/>
    <w:rsid w:val="004452C2"/>
    <w:rsid w:val="004459FE"/>
    <w:rsid w:val="004469B0"/>
    <w:rsid w:val="00446A22"/>
    <w:rsid w:val="00446BD4"/>
    <w:rsid w:val="00446C2A"/>
    <w:rsid w:val="0044752E"/>
    <w:rsid w:val="00447E1F"/>
    <w:rsid w:val="00447FEA"/>
    <w:rsid w:val="0045005A"/>
    <w:rsid w:val="00450BE2"/>
    <w:rsid w:val="00450EFB"/>
    <w:rsid w:val="00450FB8"/>
    <w:rsid w:val="004517EB"/>
    <w:rsid w:val="0045183C"/>
    <w:rsid w:val="00452A8F"/>
    <w:rsid w:val="004537E4"/>
    <w:rsid w:val="00453FFA"/>
    <w:rsid w:val="0045542B"/>
    <w:rsid w:val="004558A9"/>
    <w:rsid w:val="00455E17"/>
    <w:rsid w:val="004563A0"/>
    <w:rsid w:val="0045668E"/>
    <w:rsid w:val="00456706"/>
    <w:rsid w:val="00456AF6"/>
    <w:rsid w:val="00456C63"/>
    <w:rsid w:val="00457277"/>
    <w:rsid w:val="004574FC"/>
    <w:rsid w:val="00460541"/>
    <w:rsid w:val="004605F2"/>
    <w:rsid w:val="004609A1"/>
    <w:rsid w:val="004615F7"/>
    <w:rsid w:val="004618F7"/>
    <w:rsid w:val="00461B81"/>
    <w:rsid w:val="00462A40"/>
    <w:rsid w:val="00463023"/>
    <w:rsid w:val="004638BD"/>
    <w:rsid w:val="00463FC3"/>
    <w:rsid w:val="00464B1B"/>
    <w:rsid w:val="00464D24"/>
    <w:rsid w:val="00465CC7"/>
    <w:rsid w:val="00466023"/>
    <w:rsid w:val="00466464"/>
    <w:rsid w:val="0046652F"/>
    <w:rsid w:val="0046687C"/>
    <w:rsid w:val="004668B5"/>
    <w:rsid w:val="00466A6A"/>
    <w:rsid w:val="00466CB5"/>
    <w:rsid w:val="00466F74"/>
    <w:rsid w:val="00466FF4"/>
    <w:rsid w:val="00467175"/>
    <w:rsid w:val="0046774D"/>
    <w:rsid w:val="004678C8"/>
    <w:rsid w:val="00470303"/>
    <w:rsid w:val="004705C6"/>
    <w:rsid w:val="00470D3A"/>
    <w:rsid w:val="00471A1A"/>
    <w:rsid w:val="00471C3F"/>
    <w:rsid w:val="004728F5"/>
    <w:rsid w:val="00472B09"/>
    <w:rsid w:val="00472BA3"/>
    <w:rsid w:val="00473A47"/>
    <w:rsid w:val="004742F6"/>
    <w:rsid w:val="004749D5"/>
    <w:rsid w:val="00477014"/>
    <w:rsid w:val="00477710"/>
    <w:rsid w:val="0047781F"/>
    <w:rsid w:val="00477978"/>
    <w:rsid w:val="00477B48"/>
    <w:rsid w:val="00477F16"/>
    <w:rsid w:val="00480C28"/>
    <w:rsid w:val="00481093"/>
    <w:rsid w:val="004811E5"/>
    <w:rsid w:val="0048188F"/>
    <w:rsid w:val="00481AB2"/>
    <w:rsid w:val="004830E6"/>
    <w:rsid w:val="004831B9"/>
    <w:rsid w:val="00484092"/>
    <w:rsid w:val="004843ED"/>
    <w:rsid w:val="004849F7"/>
    <w:rsid w:val="00484CC0"/>
    <w:rsid w:val="00484E57"/>
    <w:rsid w:val="00485CF4"/>
    <w:rsid w:val="00485EC1"/>
    <w:rsid w:val="00486A30"/>
    <w:rsid w:val="00486DFE"/>
    <w:rsid w:val="0048722A"/>
    <w:rsid w:val="004875B1"/>
    <w:rsid w:val="004905F8"/>
    <w:rsid w:val="00490B43"/>
    <w:rsid w:val="00490C45"/>
    <w:rsid w:val="004912F9"/>
    <w:rsid w:val="00491A19"/>
    <w:rsid w:val="00491EC6"/>
    <w:rsid w:val="00491FEB"/>
    <w:rsid w:val="00492217"/>
    <w:rsid w:val="0049279F"/>
    <w:rsid w:val="004927D8"/>
    <w:rsid w:val="00492A6A"/>
    <w:rsid w:val="00492F07"/>
    <w:rsid w:val="0049332F"/>
    <w:rsid w:val="004935FD"/>
    <w:rsid w:val="00493739"/>
    <w:rsid w:val="00493C45"/>
    <w:rsid w:val="00494066"/>
    <w:rsid w:val="0049466D"/>
    <w:rsid w:val="00494867"/>
    <w:rsid w:val="00494A53"/>
    <w:rsid w:val="004960BC"/>
    <w:rsid w:val="004961A1"/>
    <w:rsid w:val="00496AC0"/>
    <w:rsid w:val="00496D1C"/>
    <w:rsid w:val="004978C6"/>
    <w:rsid w:val="004A00AD"/>
    <w:rsid w:val="004A0828"/>
    <w:rsid w:val="004A0B1B"/>
    <w:rsid w:val="004A0C1B"/>
    <w:rsid w:val="004A1A0A"/>
    <w:rsid w:val="004A20A1"/>
    <w:rsid w:val="004A2DE6"/>
    <w:rsid w:val="004A37A4"/>
    <w:rsid w:val="004A4136"/>
    <w:rsid w:val="004A48B4"/>
    <w:rsid w:val="004A4D5E"/>
    <w:rsid w:val="004A4DBA"/>
    <w:rsid w:val="004A5268"/>
    <w:rsid w:val="004A5293"/>
    <w:rsid w:val="004A5F37"/>
    <w:rsid w:val="004A6042"/>
    <w:rsid w:val="004A6A02"/>
    <w:rsid w:val="004A75EF"/>
    <w:rsid w:val="004A78EF"/>
    <w:rsid w:val="004A7CBA"/>
    <w:rsid w:val="004B00BA"/>
    <w:rsid w:val="004B0919"/>
    <w:rsid w:val="004B26A4"/>
    <w:rsid w:val="004B3406"/>
    <w:rsid w:val="004B3AB8"/>
    <w:rsid w:val="004B3B2B"/>
    <w:rsid w:val="004B3E6C"/>
    <w:rsid w:val="004B4B80"/>
    <w:rsid w:val="004B5986"/>
    <w:rsid w:val="004B5D7B"/>
    <w:rsid w:val="004B5FF4"/>
    <w:rsid w:val="004B62DB"/>
    <w:rsid w:val="004B6512"/>
    <w:rsid w:val="004B6C48"/>
    <w:rsid w:val="004B7307"/>
    <w:rsid w:val="004B7868"/>
    <w:rsid w:val="004B7B1E"/>
    <w:rsid w:val="004C02E3"/>
    <w:rsid w:val="004C13FC"/>
    <w:rsid w:val="004C1F9F"/>
    <w:rsid w:val="004C31A8"/>
    <w:rsid w:val="004C32DB"/>
    <w:rsid w:val="004C3F64"/>
    <w:rsid w:val="004C43B4"/>
    <w:rsid w:val="004C5C90"/>
    <w:rsid w:val="004C5CFE"/>
    <w:rsid w:val="004C6638"/>
    <w:rsid w:val="004C6B20"/>
    <w:rsid w:val="004C6C9A"/>
    <w:rsid w:val="004C7274"/>
    <w:rsid w:val="004D0378"/>
    <w:rsid w:val="004D0D93"/>
    <w:rsid w:val="004D0DE2"/>
    <w:rsid w:val="004D0EAC"/>
    <w:rsid w:val="004D1110"/>
    <w:rsid w:val="004D16E6"/>
    <w:rsid w:val="004D19E7"/>
    <w:rsid w:val="004D23EA"/>
    <w:rsid w:val="004D259B"/>
    <w:rsid w:val="004D2E2B"/>
    <w:rsid w:val="004D3197"/>
    <w:rsid w:val="004D32F7"/>
    <w:rsid w:val="004D3436"/>
    <w:rsid w:val="004D424D"/>
    <w:rsid w:val="004D4334"/>
    <w:rsid w:val="004D4B63"/>
    <w:rsid w:val="004D4E98"/>
    <w:rsid w:val="004D5154"/>
    <w:rsid w:val="004D6A9B"/>
    <w:rsid w:val="004D6D8A"/>
    <w:rsid w:val="004D7A4C"/>
    <w:rsid w:val="004D7AD5"/>
    <w:rsid w:val="004D7B0A"/>
    <w:rsid w:val="004E03DF"/>
    <w:rsid w:val="004E152B"/>
    <w:rsid w:val="004E197B"/>
    <w:rsid w:val="004E235A"/>
    <w:rsid w:val="004E258B"/>
    <w:rsid w:val="004E293C"/>
    <w:rsid w:val="004E47AF"/>
    <w:rsid w:val="004E5148"/>
    <w:rsid w:val="004E539C"/>
    <w:rsid w:val="004E5AC0"/>
    <w:rsid w:val="004E653A"/>
    <w:rsid w:val="004E6550"/>
    <w:rsid w:val="004E6631"/>
    <w:rsid w:val="004E6727"/>
    <w:rsid w:val="004E6E11"/>
    <w:rsid w:val="004E6E4E"/>
    <w:rsid w:val="004E77D7"/>
    <w:rsid w:val="004E7B1B"/>
    <w:rsid w:val="004E7EC6"/>
    <w:rsid w:val="004E7F23"/>
    <w:rsid w:val="004E7F3F"/>
    <w:rsid w:val="004F0904"/>
    <w:rsid w:val="004F092D"/>
    <w:rsid w:val="004F0C4B"/>
    <w:rsid w:val="004F1261"/>
    <w:rsid w:val="004F1295"/>
    <w:rsid w:val="004F13FA"/>
    <w:rsid w:val="004F18EA"/>
    <w:rsid w:val="004F199A"/>
    <w:rsid w:val="004F2395"/>
    <w:rsid w:val="004F2A5C"/>
    <w:rsid w:val="004F3669"/>
    <w:rsid w:val="004F3C1C"/>
    <w:rsid w:val="004F3DA1"/>
    <w:rsid w:val="004F48CA"/>
    <w:rsid w:val="004F4C73"/>
    <w:rsid w:val="004F4CD8"/>
    <w:rsid w:val="004F54E6"/>
    <w:rsid w:val="004F5973"/>
    <w:rsid w:val="004F5E3E"/>
    <w:rsid w:val="004F60F0"/>
    <w:rsid w:val="004F6112"/>
    <w:rsid w:val="004F6198"/>
    <w:rsid w:val="004F6453"/>
    <w:rsid w:val="004F6DAF"/>
    <w:rsid w:val="004F6F0D"/>
    <w:rsid w:val="004F6F59"/>
    <w:rsid w:val="004F6FCB"/>
    <w:rsid w:val="004F7D9E"/>
    <w:rsid w:val="00500BEE"/>
    <w:rsid w:val="00502D3A"/>
    <w:rsid w:val="00502E7B"/>
    <w:rsid w:val="00502F1A"/>
    <w:rsid w:val="005039A2"/>
    <w:rsid w:val="00503C3C"/>
    <w:rsid w:val="00504902"/>
    <w:rsid w:val="00504D26"/>
    <w:rsid w:val="00505C62"/>
    <w:rsid w:val="00506429"/>
    <w:rsid w:val="005064EF"/>
    <w:rsid w:val="00506D89"/>
    <w:rsid w:val="0051099D"/>
    <w:rsid w:val="00511D32"/>
    <w:rsid w:val="00512142"/>
    <w:rsid w:val="005125FD"/>
    <w:rsid w:val="005134B1"/>
    <w:rsid w:val="00513504"/>
    <w:rsid w:val="00513622"/>
    <w:rsid w:val="00513BB9"/>
    <w:rsid w:val="0051487C"/>
    <w:rsid w:val="00514D3D"/>
    <w:rsid w:val="0051670A"/>
    <w:rsid w:val="0051699E"/>
    <w:rsid w:val="00516B9D"/>
    <w:rsid w:val="00516BAB"/>
    <w:rsid w:val="00516D4C"/>
    <w:rsid w:val="00516F3D"/>
    <w:rsid w:val="0051776B"/>
    <w:rsid w:val="00517EFC"/>
    <w:rsid w:val="005206BE"/>
    <w:rsid w:val="00521924"/>
    <w:rsid w:val="0052230D"/>
    <w:rsid w:val="0052245B"/>
    <w:rsid w:val="00522978"/>
    <w:rsid w:val="00522FD6"/>
    <w:rsid w:val="005230A4"/>
    <w:rsid w:val="005239B9"/>
    <w:rsid w:val="00523B71"/>
    <w:rsid w:val="00523C98"/>
    <w:rsid w:val="00523F42"/>
    <w:rsid w:val="00524362"/>
    <w:rsid w:val="00524645"/>
    <w:rsid w:val="0052497B"/>
    <w:rsid w:val="005260BE"/>
    <w:rsid w:val="005261F5"/>
    <w:rsid w:val="00527B88"/>
    <w:rsid w:val="00530424"/>
    <w:rsid w:val="005305A5"/>
    <w:rsid w:val="00530976"/>
    <w:rsid w:val="005312E0"/>
    <w:rsid w:val="005316BD"/>
    <w:rsid w:val="00531AFC"/>
    <w:rsid w:val="0053213F"/>
    <w:rsid w:val="005329E6"/>
    <w:rsid w:val="00532BC8"/>
    <w:rsid w:val="00533963"/>
    <w:rsid w:val="00533DC8"/>
    <w:rsid w:val="00534932"/>
    <w:rsid w:val="00534945"/>
    <w:rsid w:val="00534960"/>
    <w:rsid w:val="00534FFD"/>
    <w:rsid w:val="00535007"/>
    <w:rsid w:val="00535CAF"/>
    <w:rsid w:val="00535D85"/>
    <w:rsid w:val="0053605B"/>
    <w:rsid w:val="00536537"/>
    <w:rsid w:val="00536769"/>
    <w:rsid w:val="00536F73"/>
    <w:rsid w:val="00536F9A"/>
    <w:rsid w:val="00537134"/>
    <w:rsid w:val="005373E2"/>
    <w:rsid w:val="00537A62"/>
    <w:rsid w:val="0054072C"/>
    <w:rsid w:val="00540835"/>
    <w:rsid w:val="0054090E"/>
    <w:rsid w:val="00540CE8"/>
    <w:rsid w:val="00540F28"/>
    <w:rsid w:val="00541AA7"/>
    <w:rsid w:val="00541F94"/>
    <w:rsid w:val="0054221B"/>
    <w:rsid w:val="005424DC"/>
    <w:rsid w:val="00542519"/>
    <w:rsid w:val="00542C7A"/>
    <w:rsid w:val="00543401"/>
    <w:rsid w:val="00543527"/>
    <w:rsid w:val="00544491"/>
    <w:rsid w:val="0054531D"/>
    <w:rsid w:val="0054545E"/>
    <w:rsid w:val="00545744"/>
    <w:rsid w:val="005459AD"/>
    <w:rsid w:val="0054677A"/>
    <w:rsid w:val="00546F0E"/>
    <w:rsid w:val="0054769A"/>
    <w:rsid w:val="0055091E"/>
    <w:rsid w:val="00551B6B"/>
    <w:rsid w:val="00551D24"/>
    <w:rsid w:val="00551F12"/>
    <w:rsid w:val="0055200B"/>
    <w:rsid w:val="00552199"/>
    <w:rsid w:val="00552211"/>
    <w:rsid w:val="0055280A"/>
    <w:rsid w:val="00553599"/>
    <w:rsid w:val="00553C0D"/>
    <w:rsid w:val="0055483F"/>
    <w:rsid w:val="00554A1E"/>
    <w:rsid w:val="00556256"/>
    <w:rsid w:val="00556759"/>
    <w:rsid w:val="0055680B"/>
    <w:rsid w:val="00557F8C"/>
    <w:rsid w:val="00557FA4"/>
    <w:rsid w:val="005607A3"/>
    <w:rsid w:val="005611FF"/>
    <w:rsid w:val="00561D0B"/>
    <w:rsid w:val="0056236F"/>
    <w:rsid w:val="00563D06"/>
    <w:rsid w:val="005640AA"/>
    <w:rsid w:val="0056503C"/>
    <w:rsid w:val="00565CF2"/>
    <w:rsid w:val="00565E16"/>
    <w:rsid w:val="005669EE"/>
    <w:rsid w:val="00566E26"/>
    <w:rsid w:val="00566EE8"/>
    <w:rsid w:val="0056758B"/>
    <w:rsid w:val="00567BA4"/>
    <w:rsid w:val="00570059"/>
    <w:rsid w:val="0057023A"/>
    <w:rsid w:val="005703DE"/>
    <w:rsid w:val="00570498"/>
    <w:rsid w:val="00570FD0"/>
    <w:rsid w:val="00571A4D"/>
    <w:rsid w:val="00572902"/>
    <w:rsid w:val="00573277"/>
    <w:rsid w:val="00573923"/>
    <w:rsid w:val="00573C48"/>
    <w:rsid w:val="005742BF"/>
    <w:rsid w:val="00574569"/>
    <w:rsid w:val="00574CD8"/>
    <w:rsid w:val="00575188"/>
    <w:rsid w:val="00575268"/>
    <w:rsid w:val="0057612A"/>
    <w:rsid w:val="00576E75"/>
    <w:rsid w:val="00577B05"/>
    <w:rsid w:val="005801F2"/>
    <w:rsid w:val="0058047B"/>
    <w:rsid w:val="005818BA"/>
    <w:rsid w:val="00581CD0"/>
    <w:rsid w:val="005826C9"/>
    <w:rsid w:val="00582C71"/>
    <w:rsid w:val="00583062"/>
    <w:rsid w:val="00583D19"/>
    <w:rsid w:val="0058462A"/>
    <w:rsid w:val="00584957"/>
    <w:rsid w:val="00584E89"/>
    <w:rsid w:val="0058504F"/>
    <w:rsid w:val="00585A26"/>
    <w:rsid w:val="00585F3F"/>
    <w:rsid w:val="00585F80"/>
    <w:rsid w:val="005860E6"/>
    <w:rsid w:val="005866D3"/>
    <w:rsid w:val="00586849"/>
    <w:rsid w:val="0058690C"/>
    <w:rsid w:val="00586964"/>
    <w:rsid w:val="00586BCA"/>
    <w:rsid w:val="005874A0"/>
    <w:rsid w:val="00587646"/>
    <w:rsid w:val="0058784E"/>
    <w:rsid w:val="00587891"/>
    <w:rsid w:val="00587CF6"/>
    <w:rsid w:val="00587E20"/>
    <w:rsid w:val="00587EAB"/>
    <w:rsid w:val="00590251"/>
    <w:rsid w:val="00590559"/>
    <w:rsid w:val="005909FE"/>
    <w:rsid w:val="005912CA"/>
    <w:rsid w:val="005913DD"/>
    <w:rsid w:val="00591958"/>
    <w:rsid w:val="00591F3A"/>
    <w:rsid w:val="0059450C"/>
    <w:rsid w:val="0059472F"/>
    <w:rsid w:val="00594B16"/>
    <w:rsid w:val="00595983"/>
    <w:rsid w:val="005961F5"/>
    <w:rsid w:val="00596CAF"/>
    <w:rsid w:val="005977F9"/>
    <w:rsid w:val="00597947"/>
    <w:rsid w:val="005A03B9"/>
    <w:rsid w:val="005A0920"/>
    <w:rsid w:val="005A0E9B"/>
    <w:rsid w:val="005A15C4"/>
    <w:rsid w:val="005A1B13"/>
    <w:rsid w:val="005A1CBD"/>
    <w:rsid w:val="005A1CEC"/>
    <w:rsid w:val="005A23A4"/>
    <w:rsid w:val="005A2656"/>
    <w:rsid w:val="005A3095"/>
    <w:rsid w:val="005A436A"/>
    <w:rsid w:val="005A7324"/>
    <w:rsid w:val="005B03CB"/>
    <w:rsid w:val="005B092D"/>
    <w:rsid w:val="005B19F7"/>
    <w:rsid w:val="005B3213"/>
    <w:rsid w:val="005B3548"/>
    <w:rsid w:val="005B358C"/>
    <w:rsid w:val="005B4BDA"/>
    <w:rsid w:val="005B57EF"/>
    <w:rsid w:val="005B5F2E"/>
    <w:rsid w:val="005B6053"/>
    <w:rsid w:val="005B6CC2"/>
    <w:rsid w:val="005B7848"/>
    <w:rsid w:val="005B7C5F"/>
    <w:rsid w:val="005B7E48"/>
    <w:rsid w:val="005B7F6C"/>
    <w:rsid w:val="005B7FDE"/>
    <w:rsid w:val="005C0DB6"/>
    <w:rsid w:val="005C1A43"/>
    <w:rsid w:val="005C1EEE"/>
    <w:rsid w:val="005C20F1"/>
    <w:rsid w:val="005C2B5B"/>
    <w:rsid w:val="005C2C6C"/>
    <w:rsid w:val="005C3893"/>
    <w:rsid w:val="005C393A"/>
    <w:rsid w:val="005C3AEC"/>
    <w:rsid w:val="005C3D96"/>
    <w:rsid w:val="005C4196"/>
    <w:rsid w:val="005C43C2"/>
    <w:rsid w:val="005C4986"/>
    <w:rsid w:val="005C535F"/>
    <w:rsid w:val="005C5435"/>
    <w:rsid w:val="005C5AA2"/>
    <w:rsid w:val="005C62EA"/>
    <w:rsid w:val="005C633D"/>
    <w:rsid w:val="005C760A"/>
    <w:rsid w:val="005C7743"/>
    <w:rsid w:val="005C7961"/>
    <w:rsid w:val="005D0123"/>
    <w:rsid w:val="005D02A6"/>
    <w:rsid w:val="005D0367"/>
    <w:rsid w:val="005D0402"/>
    <w:rsid w:val="005D0437"/>
    <w:rsid w:val="005D0466"/>
    <w:rsid w:val="005D0816"/>
    <w:rsid w:val="005D1004"/>
    <w:rsid w:val="005D14F3"/>
    <w:rsid w:val="005D1C28"/>
    <w:rsid w:val="005D1C74"/>
    <w:rsid w:val="005D2CBF"/>
    <w:rsid w:val="005D2D7A"/>
    <w:rsid w:val="005D31AB"/>
    <w:rsid w:val="005D35BB"/>
    <w:rsid w:val="005D3654"/>
    <w:rsid w:val="005D39A8"/>
    <w:rsid w:val="005D3AC1"/>
    <w:rsid w:val="005D4502"/>
    <w:rsid w:val="005D4F53"/>
    <w:rsid w:val="005D582F"/>
    <w:rsid w:val="005D5CCE"/>
    <w:rsid w:val="005D605B"/>
    <w:rsid w:val="005D69E9"/>
    <w:rsid w:val="005D734A"/>
    <w:rsid w:val="005D7E06"/>
    <w:rsid w:val="005E00A6"/>
    <w:rsid w:val="005E033B"/>
    <w:rsid w:val="005E0A21"/>
    <w:rsid w:val="005E0BD4"/>
    <w:rsid w:val="005E0E5D"/>
    <w:rsid w:val="005E1B9D"/>
    <w:rsid w:val="005E2143"/>
    <w:rsid w:val="005E22CC"/>
    <w:rsid w:val="005E2460"/>
    <w:rsid w:val="005E2A47"/>
    <w:rsid w:val="005E384F"/>
    <w:rsid w:val="005E3A0C"/>
    <w:rsid w:val="005E4087"/>
    <w:rsid w:val="005E58C5"/>
    <w:rsid w:val="005E5C91"/>
    <w:rsid w:val="005E6889"/>
    <w:rsid w:val="005E693D"/>
    <w:rsid w:val="005E6F2C"/>
    <w:rsid w:val="005E71C3"/>
    <w:rsid w:val="005E7878"/>
    <w:rsid w:val="005F08D3"/>
    <w:rsid w:val="005F1B67"/>
    <w:rsid w:val="005F20DE"/>
    <w:rsid w:val="005F27FA"/>
    <w:rsid w:val="005F2813"/>
    <w:rsid w:val="005F2E8A"/>
    <w:rsid w:val="005F3880"/>
    <w:rsid w:val="005F3C8B"/>
    <w:rsid w:val="005F4397"/>
    <w:rsid w:val="005F5190"/>
    <w:rsid w:val="005F5296"/>
    <w:rsid w:val="005F57C4"/>
    <w:rsid w:val="005F5C57"/>
    <w:rsid w:val="005F5ECF"/>
    <w:rsid w:val="005F5F4A"/>
    <w:rsid w:val="005F65EE"/>
    <w:rsid w:val="005F6DCA"/>
    <w:rsid w:val="005F6F31"/>
    <w:rsid w:val="005F700F"/>
    <w:rsid w:val="005F7A41"/>
    <w:rsid w:val="006000D6"/>
    <w:rsid w:val="0060222B"/>
    <w:rsid w:val="00602AAD"/>
    <w:rsid w:val="00602ADE"/>
    <w:rsid w:val="00603A2F"/>
    <w:rsid w:val="00603D31"/>
    <w:rsid w:val="00603E12"/>
    <w:rsid w:val="0060473A"/>
    <w:rsid w:val="00605211"/>
    <w:rsid w:val="00605A77"/>
    <w:rsid w:val="00606746"/>
    <w:rsid w:val="00606AE2"/>
    <w:rsid w:val="00606E8E"/>
    <w:rsid w:val="00607693"/>
    <w:rsid w:val="00607A6A"/>
    <w:rsid w:val="00607CC8"/>
    <w:rsid w:val="00610942"/>
    <w:rsid w:val="00610D5B"/>
    <w:rsid w:val="00610ED0"/>
    <w:rsid w:val="00611008"/>
    <w:rsid w:val="0061190A"/>
    <w:rsid w:val="00611CA9"/>
    <w:rsid w:val="00611CAB"/>
    <w:rsid w:val="00611FAC"/>
    <w:rsid w:val="00611FAF"/>
    <w:rsid w:val="0061214E"/>
    <w:rsid w:val="00612719"/>
    <w:rsid w:val="006127B0"/>
    <w:rsid w:val="00612931"/>
    <w:rsid w:val="0061301F"/>
    <w:rsid w:val="0061317A"/>
    <w:rsid w:val="00614493"/>
    <w:rsid w:val="00614AE5"/>
    <w:rsid w:val="00614EA7"/>
    <w:rsid w:val="006152A6"/>
    <w:rsid w:val="006152DF"/>
    <w:rsid w:val="00615585"/>
    <w:rsid w:val="00615618"/>
    <w:rsid w:val="00615A16"/>
    <w:rsid w:val="00615B3E"/>
    <w:rsid w:val="0061695D"/>
    <w:rsid w:val="00616A90"/>
    <w:rsid w:val="00616AA1"/>
    <w:rsid w:val="00616F76"/>
    <w:rsid w:val="00616FCC"/>
    <w:rsid w:val="0061701F"/>
    <w:rsid w:val="00617147"/>
    <w:rsid w:val="00617685"/>
    <w:rsid w:val="00617856"/>
    <w:rsid w:val="006203B8"/>
    <w:rsid w:val="006209FA"/>
    <w:rsid w:val="00621828"/>
    <w:rsid w:val="006228A7"/>
    <w:rsid w:val="00622D74"/>
    <w:rsid w:val="0062389F"/>
    <w:rsid w:val="00623A50"/>
    <w:rsid w:val="00624330"/>
    <w:rsid w:val="006248DC"/>
    <w:rsid w:val="00624A31"/>
    <w:rsid w:val="00624CFE"/>
    <w:rsid w:val="00625502"/>
    <w:rsid w:val="00625651"/>
    <w:rsid w:val="00625D25"/>
    <w:rsid w:val="00625D63"/>
    <w:rsid w:val="006260CD"/>
    <w:rsid w:val="006261BD"/>
    <w:rsid w:val="006264FA"/>
    <w:rsid w:val="006269C2"/>
    <w:rsid w:val="00627AB7"/>
    <w:rsid w:val="00627B24"/>
    <w:rsid w:val="00627C42"/>
    <w:rsid w:val="00627DA0"/>
    <w:rsid w:val="0063010D"/>
    <w:rsid w:val="0063042B"/>
    <w:rsid w:val="00630DD3"/>
    <w:rsid w:val="00632632"/>
    <w:rsid w:val="00632E8F"/>
    <w:rsid w:val="006332EF"/>
    <w:rsid w:val="00634472"/>
    <w:rsid w:val="00634802"/>
    <w:rsid w:val="00634A67"/>
    <w:rsid w:val="00635081"/>
    <w:rsid w:val="00635A0E"/>
    <w:rsid w:val="00635CB0"/>
    <w:rsid w:val="00637C3F"/>
    <w:rsid w:val="0064084B"/>
    <w:rsid w:val="006409C0"/>
    <w:rsid w:val="006413DA"/>
    <w:rsid w:val="00641513"/>
    <w:rsid w:val="0064236A"/>
    <w:rsid w:val="0064261D"/>
    <w:rsid w:val="00642D50"/>
    <w:rsid w:val="00644119"/>
    <w:rsid w:val="00644413"/>
    <w:rsid w:val="0064450F"/>
    <w:rsid w:val="00644B63"/>
    <w:rsid w:val="006457A6"/>
    <w:rsid w:val="00645842"/>
    <w:rsid w:val="0064585F"/>
    <w:rsid w:val="00646841"/>
    <w:rsid w:val="00646E30"/>
    <w:rsid w:val="00646EFE"/>
    <w:rsid w:val="00646F9F"/>
    <w:rsid w:val="0064737D"/>
    <w:rsid w:val="00647A94"/>
    <w:rsid w:val="00647C8B"/>
    <w:rsid w:val="00647DFC"/>
    <w:rsid w:val="006509A0"/>
    <w:rsid w:val="00650AD1"/>
    <w:rsid w:val="00651A50"/>
    <w:rsid w:val="00651EC2"/>
    <w:rsid w:val="006523AE"/>
    <w:rsid w:val="00652E0E"/>
    <w:rsid w:val="00653727"/>
    <w:rsid w:val="006537A1"/>
    <w:rsid w:val="00653DAC"/>
    <w:rsid w:val="00653F08"/>
    <w:rsid w:val="0065427B"/>
    <w:rsid w:val="00654425"/>
    <w:rsid w:val="00654858"/>
    <w:rsid w:val="00654BB5"/>
    <w:rsid w:val="00655210"/>
    <w:rsid w:val="00655CE0"/>
    <w:rsid w:val="006561C5"/>
    <w:rsid w:val="00656857"/>
    <w:rsid w:val="00656B8B"/>
    <w:rsid w:val="006570A5"/>
    <w:rsid w:val="0066033C"/>
    <w:rsid w:val="006608D9"/>
    <w:rsid w:val="00660B2A"/>
    <w:rsid w:val="00660FF9"/>
    <w:rsid w:val="00661A32"/>
    <w:rsid w:val="00661FC7"/>
    <w:rsid w:val="006620A3"/>
    <w:rsid w:val="006627CD"/>
    <w:rsid w:val="00664FC9"/>
    <w:rsid w:val="00665109"/>
    <w:rsid w:val="00665300"/>
    <w:rsid w:val="00665AE7"/>
    <w:rsid w:val="00665CE1"/>
    <w:rsid w:val="00666038"/>
    <w:rsid w:val="0066613F"/>
    <w:rsid w:val="0066649C"/>
    <w:rsid w:val="0066682F"/>
    <w:rsid w:val="00667412"/>
    <w:rsid w:val="006674BB"/>
    <w:rsid w:val="006675E9"/>
    <w:rsid w:val="00667EA7"/>
    <w:rsid w:val="00667FA4"/>
    <w:rsid w:val="0067098A"/>
    <w:rsid w:val="00670FA8"/>
    <w:rsid w:val="006712ED"/>
    <w:rsid w:val="0067131E"/>
    <w:rsid w:val="00672846"/>
    <w:rsid w:val="00672C0D"/>
    <w:rsid w:val="00672CB6"/>
    <w:rsid w:val="0067347F"/>
    <w:rsid w:val="006744A7"/>
    <w:rsid w:val="00674B7F"/>
    <w:rsid w:val="006754DE"/>
    <w:rsid w:val="006756EE"/>
    <w:rsid w:val="00675833"/>
    <w:rsid w:val="006765C6"/>
    <w:rsid w:val="00677088"/>
    <w:rsid w:val="00677C0D"/>
    <w:rsid w:val="00677D09"/>
    <w:rsid w:val="00677E20"/>
    <w:rsid w:val="00677FB5"/>
    <w:rsid w:val="0068060A"/>
    <w:rsid w:val="006813E2"/>
    <w:rsid w:val="006819F5"/>
    <w:rsid w:val="006823F8"/>
    <w:rsid w:val="006828C7"/>
    <w:rsid w:val="00682B5E"/>
    <w:rsid w:val="00683860"/>
    <w:rsid w:val="00683FC9"/>
    <w:rsid w:val="006844F7"/>
    <w:rsid w:val="00684BC8"/>
    <w:rsid w:val="0068504D"/>
    <w:rsid w:val="0068551C"/>
    <w:rsid w:val="00685847"/>
    <w:rsid w:val="00685B46"/>
    <w:rsid w:val="00686A3D"/>
    <w:rsid w:val="00686C59"/>
    <w:rsid w:val="00686DC4"/>
    <w:rsid w:val="00687032"/>
    <w:rsid w:val="0068749E"/>
    <w:rsid w:val="0069106F"/>
    <w:rsid w:val="006910D4"/>
    <w:rsid w:val="00691CB9"/>
    <w:rsid w:val="00692427"/>
    <w:rsid w:val="006931E7"/>
    <w:rsid w:val="0069328C"/>
    <w:rsid w:val="00694B63"/>
    <w:rsid w:val="00694C2F"/>
    <w:rsid w:val="00695215"/>
    <w:rsid w:val="0069595E"/>
    <w:rsid w:val="00695E84"/>
    <w:rsid w:val="006970B0"/>
    <w:rsid w:val="00697216"/>
    <w:rsid w:val="0069730B"/>
    <w:rsid w:val="006973EC"/>
    <w:rsid w:val="006975D6"/>
    <w:rsid w:val="00697CA0"/>
    <w:rsid w:val="00697F5F"/>
    <w:rsid w:val="006A0526"/>
    <w:rsid w:val="006A064D"/>
    <w:rsid w:val="006A0832"/>
    <w:rsid w:val="006A0878"/>
    <w:rsid w:val="006A0B03"/>
    <w:rsid w:val="006A0B9B"/>
    <w:rsid w:val="006A1297"/>
    <w:rsid w:val="006A13BB"/>
    <w:rsid w:val="006A22BB"/>
    <w:rsid w:val="006A233F"/>
    <w:rsid w:val="006A2A2F"/>
    <w:rsid w:val="006A2B1D"/>
    <w:rsid w:val="006A322B"/>
    <w:rsid w:val="006A33D1"/>
    <w:rsid w:val="006A3540"/>
    <w:rsid w:val="006A3782"/>
    <w:rsid w:val="006A405E"/>
    <w:rsid w:val="006A42F4"/>
    <w:rsid w:val="006A533D"/>
    <w:rsid w:val="006A60D6"/>
    <w:rsid w:val="006A611B"/>
    <w:rsid w:val="006A665E"/>
    <w:rsid w:val="006A7136"/>
    <w:rsid w:val="006A75B7"/>
    <w:rsid w:val="006A7771"/>
    <w:rsid w:val="006A7D47"/>
    <w:rsid w:val="006B0114"/>
    <w:rsid w:val="006B01EE"/>
    <w:rsid w:val="006B04E1"/>
    <w:rsid w:val="006B0DC3"/>
    <w:rsid w:val="006B1215"/>
    <w:rsid w:val="006B1350"/>
    <w:rsid w:val="006B19FA"/>
    <w:rsid w:val="006B1EB6"/>
    <w:rsid w:val="006B2136"/>
    <w:rsid w:val="006B3294"/>
    <w:rsid w:val="006B342F"/>
    <w:rsid w:val="006B36CD"/>
    <w:rsid w:val="006B3B43"/>
    <w:rsid w:val="006B3DF7"/>
    <w:rsid w:val="006B3FFC"/>
    <w:rsid w:val="006B4049"/>
    <w:rsid w:val="006B4C75"/>
    <w:rsid w:val="006B5505"/>
    <w:rsid w:val="006B55A2"/>
    <w:rsid w:val="006B6338"/>
    <w:rsid w:val="006B6681"/>
    <w:rsid w:val="006B6E53"/>
    <w:rsid w:val="006B705D"/>
    <w:rsid w:val="006B76BF"/>
    <w:rsid w:val="006B7C19"/>
    <w:rsid w:val="006B7C84"/>
    <w:rsid w:val="006C051F"/>
    <w:rsid w:val="006C0696"/>
    <w:rsid w:val="006C0AA4"/>
    <w:rsid w:val="006C13CE"/>
    <w:rsid w:val="006C260C"/>
    <w:rsid w:val="006C2756"/>
    <w:rsid w:val="006C27FD"/>
    <w:rsid w:val="006C2CA7"/>
    <w:rsid w:val="006C2F0F"/>
    <w:rsid w:val="006C30B8"/>
    <w:rsid w:val="006C3535"/>
    <w:rsid w:val="006C414E"/>
    <w:rsid w:val="006C432D"/>
    <w:rsid w:val="006C53F4"/>
    <w:rsid w:val="006C5A1D"/>
    <w:rsid w:val="006C65BC"/>
    <w:rsid w:val="006C6A34"/>
    <w:rsid w:val="006C6C18"/>
    <w:rsid w:val="006C7A18"/>
    <w:rsid w:val="006C7D63"/>
    <w:rsid w:val="006D0DEB"/>
    <w:rsid w:val="006D1417"/>
    <w:rsid w:val="006D1743"/>
    <w:rsid w:val="006D34A4"/>
    <w:rsid w:val="006D3E49"/>
    <w:rsid w:val="006D4712"/>
    <w:rsid w:val="006D4AEB"/>
    <w:rsid w:val="006D4D3C"/>
    <w:rsid w:val="006D4DF2"/>
    <w:rsid w:val="006D5332"/>
    <w:rsid w:val="006D59B9"/>
    <w:rsid w:val="006D5B47"/>
    <w:rsid w:val="006D5CD1"/>
    <w:rsid w:val="006D5DCB"/>
    <w:rsid w:val="006D63C1"/>
    <w:rsid w:val="006D6946"/>
    <w:rsid w:val="006D6C5A"/>
    <w:rsid w:val="006D6CC3"/>
    <w:rsid w:val="006D71FC"/>
    <w:rsid w:val="006D73ED"/>
    <w:rsid w:val="006D75B8"/>
    <w:rsid w:val="006D7746"/>
    <w:rsid w:val="006D7A0E"/>
    <w:rsid w:val="006D7FEB"/>
    <w:rsid w:val="006E0308"/>
    <w:rsid w:val="006E08E4"/>
    <w:rsid w:val="006E0D23"/>
    <w:rsid w:val="006E0E31"/>
    <w:rsid w:val="006E1863"/>
    <w:rsid w:val="006E1A67"/>
    <w:rsid w:val="006E1E13"/>
    <w:rsid w:val="006E2697"/>
    <w:rsid w:val="006E28D1"/>
    <w:rsid w:val="006E2ED0"/>
    <w:rsid w:val="006E3201"/>
    <w:rsid w:val="006E33E9"/>
    <w:rsid w:val="006E3475"/>
    <w:rsid w:val="006E34EC"/>
    <w:rsid w:val="006E34F1"/>
    <w:rsid w:val="006E3A66"/>
    <w:rsid w:val="006E3C35"/>
    <w:rsid w:val="006E4B60"/>
    <w:rsid w:val="006E51DC"/>
    <w:rsid w:val="006E531A"/>
    <w:rsid w:val="006E5AB6"/>
    <w:rsid w:val="006E630E"/>
    <w:rsid w:val="006E64F8"/>
    <w:rsid w:val="006E6A96"/>
    <w:rsid w:val="006E6CF5"/>
    <w:rsid w:val="006E6F6E"/>
    <w:rsid w:val="006E7488"/>
    <w:rsid w:val="006E7522"/>
    <w:rsid w:val="006E76D6"/>
    <w:rsid w:val="006E7841"/>
    <w:rsid w:val="006E7D1D"/>
    <w:rsid w:val="006F194B"/>
    <w:rsid w:val="006F20FB"/>
    <w:rsid w:val="006F23A7"/>
    <w:rsid w:val="006F27FD"/>
    <w:rsid w:val="006F2CD3"/>
    <w:rsid w:val="006F3807"/>
    <w:rsid w:val="006F3D7F"/>
    <w:rsid w:val="006F4021"/>
    <w:rsid w:val="006F4092"/>
    <w:rsid w:val="006F4703"/>
    <w:rsid w:val="006F4DA2"/>
    <w:rsid w:val="006F5CC8"/>
    <w:rsid w:val="006F6289"/>
    <w:rsid w:val="006F64D2"/>
    <w:rsid w:val="006F6AF5"/>
    <w:rsid w:val="006F7308"/>
    <w:rsid w:val="006F7496"/>
    <w:rsid w:val="007005E5"/>
    <w:rsid w:val="00700859"/>
    <w:rsid w:val="00700A7D"/>
    <w:rsid w:val="00700C9F"/>
    <w:rsid w:val="00700D85"/>
    <w:rsid w:val="00700DC3"/>
    <w:rsid w:val="00702432"/>
    <w:rsid w:val="007032C7"/>
    <w:rsid w:val="0070397A"/>
    <w:rsid w:val="00704327"/>
    <w:rsid w:val="00705809"/>
    <w:rsid w:val="00705AB0"/>
    <w:rsid w:val="00705D19"/>
    <w:rsid w:val="00705D99"/>
    <w:rsid w:val="007063D0"/>
    <w:rsid w:val="0070667E"/>
    <w:rsid w:val="00706775"/>
    <w:rsid w:val="00706E33"/>
    <w:rsid w:val="00707121"/>
    <w:rsid w:val="00707179"/>
    <w:rsid w:val="00707467"/>
    <w:rsid w:val="007074DB"/>
    <w:rsid w:val="007074E4"/>
    <w:rsid w:val="0070763B"/>
    <w:rsid w:val="007077AC"/>
    <w:rsid w:val="00707C99"/>
    <w:rsid w:val="00707D02"/>
    <w:rsid w:val="00707D22"/>
    <w:rsid w:val="007103A6"/>
    <w:rsid w:val="007103CE"/>
    <w:rsid w:val="0071083A"/>
    <w:rsid w:val="0071090C"/>
    <w:rsid w:val="007109E9"/>
    <w:rsid w:val="00710CD5"/>
    <w:rsid w:val="0071155E"/>
    <w:rsid w:val="0071166F"/>
    <w:rsid w:val="00711AF4"/>
    <w:rsid w:val="00711CEE"/>
    <w:rsid w:val="007120FF"/>
    <w:rsid w:val="00712165"/>
    <w:rsid w:val="00712FD4"/>
    <w:rsid w:val="007130A9"/>
    <w:rsid w:val="00713E05"/>
    <w:rsid w:val="0071431A"/>
    <w:rsid w:val="007147B8"/>
    <w:rsid w:val="007151C8"/>
    <w:rsid w:val="00715350"/>
    <w:rsid w:val="00715C19"/>
    <w:rsid w:val="00715C66"/>
    <w:rsid w:val="00716358"/>
    <w:rsid w:val="0071651E"/>
    <w:rsid w:val="0071693F"/>
    <w:rsid w:val="00716F4D"/>
    <w:rsid w:val="00717559"/>
    <w:rsid w:val="007178F8"/>
    <w:rsid w:val="0072114F"/>
    <w:rsid w:val="00721439"/>
    <w:rsid w:val="00721D57"/>
    <w:rsid w:val="00722092"/>
    <w:rsid w:val="007228DA"/>
    <w:rsid w:val="00722C06"/>
    <w:rsid w:val="007233E3"/>
    <w:rsid w:val="0072379E"/>
    <w:rsid w:val="0072429C"/>
    <w:rsid w:val="00724662"/>
    <w:rsid w:val="00724C76"/>
    <w:rsid w:val="00725493"/>
    <w:rsid w:val="00725CED"/>
    <w:rsid w:val="007267B9"/>
    <w:rsid w:val="0072687A"/>
    <w:rsid w:val="007268D2"/>
    <w:rsid w:val="0072696E"/>
    <w:rsid w:val="00727CD8"/>
    <w:rsid w:val="00727F1C"/>
    <w:rsid w:val="00730101"/>
    <w:rsid w:val="007308CE"/>
    <w:rsid w:val="007325D9"/>
    <w:rsid w:val="0073273C"/>
    <w:rsid w:val="00733C51"/>
    <w:rsid w:val="0073433A"/>
    <w:rsid w:val="00734B5C"/>
    <w:rsid w:val="00734F6A"/>
    <w:rsid w:val="00736445"/>
    <w:rsid w:val="00737863"/>
    <w:rsid w:val="00737B93"/>
    <w:rsid w:val="00740510"/>
    <w:rsid w:val="007408CB"/>
    <w:rsid w:val="00740AF9"/>
    <w:rsid w:val="007412AC"/>
    <w:rsid w:val="00741B20"/>
    <w:rsid w:val="00741F00"/>
    <w:rsid w:val="0074235C"/>
    <w:rsid w:val="0074245E"/>
    <w:rsid w:val="00742C07"/>
    <w:rsid w:val="00742FA7"/>
    <w:rsid w:val="007432F9"/>
    <w:rsid w:val="00743BE0"/>
    <w:rsid w:val="00743C57"/>
    <w:rsid w:val="00743DAF"/>
    <w:rsid w:val="00743E2B"/>
    <w:rsid w:val="007448C9"/>
    <w:rsid w:val="00744F2F"/>
    <w:rsid w:val="00744F83"/>
    <w:rsid w:val="00744F86"/>
    <w:rsid w:val="00745B04"/>
    <w:rsid w:val="00745B9F"/>
    <w:rsid w:val="00745E59"/>
    <w:rsid w:val="00745FF7"/>
    <w:rsid w:val="00746626"/>
    <w:rsid w:val="007469EA"/>
    <w:rsid w:val="00746FC9"/>
    <w:rsid w:val="0075074E"/>
    <w:rsid w:val="00750E2F"/>
    <w:rsid w:val="00750EB8"/>
    <w:rsid w:val="0075108E"/>
    <w:rsid w:val="007516F1"/>
    <w:rsid w:val="00751A97"/>
    <w:rsid w:val="00752FB9"/>
    <w:rsid w:val="00753124"/>
    <w:rsid w:val="00753506"/>
    <w:rsid w:val="007538E1"/>
    <w:rsid w:val="0075427B"/>
    <w:rsid w:val="00754CD5"/>
    <w:rsid w:val="00755234"/>
    <w:rsid w:val="00755884"/>
    <w:rsid w:val="00756391"/>
    <w:rsid w:val="007563CB"/>
    <w:rsid w:val="007564F5"/>
    <w:rsid w:val="0075718B"/>
    <w:rsid w:val="007571B8"/>
    <w:rsid w:val="007572CF"/>
    <w:rsid w:val="007573D1"/>
    <w:rsid w:val="0075748F"/>
    <w:rsid w:val="007575FF"/>
    <w:rsid w:val="00757796"/>
    <w:rsid w:val="00757E15"/>
    <w:rsid w:val="007600F5"/>
    <w:rsid w:val="00760A34"/>
    <w:rsid w:val="00760EC1"/>
    <w:rsid w:val="0076160E"/>
    <w:rsid w:val="00761A98"/>
    <w:rsid w:val="007622C3"/>
    <w:rsid w:val="007625F6"/>
    <w:rsid w:val="00762929"/>
    <w:rsid w:val="00762FD1"/>
    <w:rsid w:val="00763664"/>
    <w:rsid w:val="00763823"/>
    <w:rsid w:val="00763AAF"/>
    <w:rsid w:val="007656D1"/>
    <w:rsid w:val="0076579E"/>
    <w:rsid w:val="007657C9"/>
    <w:rsid w:val="007662B1"/>
    <w:rsid w:val="007665C3"/>
    <w:rsid w:val="007666D9"/>
    <w:rsid w:val="00766A8C"/>
    <w:rsid w:val="00767631"/>
    <w:rsid w:val="00767ADB"/>
    <w:rsid w:val="00767D29"/>
    <w:rsid w:val="00770011"/>
    <w:rsid w:val="00770995"/>
    <w:rsid w:val="00771F90"/>
    <w:rsid w:val="00771FB0"/>
    <w:rsid w:val="00772018"/>
    <w:rsid w:val="007720B1"/>
    <w:rsid w:val="00772715"/>
    <w:rsid w:val="007730E9"/>
    <w:rsid w:val="00773149"/>
    <w:rsid w:val="007733B9"/>
    <w:rsid w:val="00773534"/>
    <w:rsid w:val="0077426E"/>
    <w:rsid w:val="007742DE"/>
    <w:rsid w:val="00774D2B"/>
    <w:rsid w:val="007752F3"/>
    <w:rsid w:val="007773EE"/>
    <w:rsid w:val="00777A63"/>
    <w:rsid w:val="00781227"/>
    <w:rsid w:val="00781E43"/>
    <w:rsid w:val="00782318"/>
    <w:rsid w:val="007827BF"/>
    <w:rsid w:val="007828BA"/>
    <w:rsid w:val="0078314C"/>
    <w:rsid w:val="00783219"/>
    <w:rsid w:val="00783631"/>
    <w:rsid w:val="007838A7"/>
    <w:rsid w:val="00783F26"/>
    <w:rsid w:val="00784734"/>
    <w:rsid w:val="00784C68"/>
    <w:rsid w:val="0078566B"/>
    <w:rsid w:val="00785903"/>
    <w:rsid w:val="00785D9C"/>
    <w:rsid w:val="007866FD"/>
    <w:rsid w:val="00786FA0"/>
    <w:rsid w:val="007874E9"/>
    <w:rsid w:val="007907B3"/>
    <w:rsid w:val="00791B5C"/>
    <w:rsid w:val="00791F6F"/>
    <w:rsid w:val="0079291A"/>
    <w:rsid w:val="00792AA8"/>
    <w:rsid w:val="00792BC0"/>
    <w:rsid w:val="007935C8"/>
    <w:rsid w:val="00793E43"/>
    <w:rsid w:val="00794438"/>
    <w:rsid w:val="007947E3"/>
    <w:rsid w:val="00795C41"/>
    <w:rsid w:val="00795D6B"/>
    <w:rsid w:val="00795E63"/>
    <w:rsid w:val="007962BD"/>
    <w:rsid w:val="00797869"/>
    <w:rsid w:val="00797BD0"/>
    <w:rsid w:val="007A03DF"/>
    <w:rsid w:val="007A0F1D"/>
    <w:rsid w:val="007A127D"/>
    <w:rsid w:val="007A1431"/>
    <w:rsid w:val="007A148D"/>
    <w:rsid w:val="007A15FB"/>
    <w:rsid w:val="007A16C6"/>
    <w:rsid w:val="007A1B21"/>
    <w:rsid w:val="007A27D8"/>
    <w:rsid w:val="007A320B"/>
    <w:rsid w:val="007A3293"/>
    <w:rsid w:val="007A37DE"/>
    <w:rsid w:val="007A3D31"/>
    <w:rsid w:val="007A3DF5"/>
    <w:rsid w:val="007A3FEE"/>
    <w:rsid w:val="007A40F8"/>
    <w:rsid w:val="007A4283"/>
    <w:rsid w:val="007A443C"/>
    <w:rsid w:val="007A444D"/>
    <w:rsid w:val="007A4AA0"/>
    <w:rsid w:val="007A5AD7"/>
    <w:rsid w:val="007A605B"/>
    <w:rsid w:val="007A673D"/>
    <w:rsid w:val="007A68F1"/>
    <w:rsid w:val="007A6FF7"/>
    <w:rsid w:val="007A73D3"/>
    <w:rsid w:val="007A7AFF"/>
    <w:rsid w:val="007B0270"/>
    <w:rsid w:val="007B0AEB"/>
    <w:rsid w:val="007B14DE"/>
    <w:rsid w:val="007B157B"/>
    <w:rsid w:val="007B26FA"/>
    <w:rsid w:val="007B3A03"/>
    <w:rsid w:val="007B3B02"/>
    <w:rsid w:val="007B4156"/>
    <w:rsid w:val="007B4537"/>
    <w:rsid w:val="007B485F"/>
    <w:rsid w:val="007B4920"/>
    <w:rsid w:val="007B5145"/>
    <w:rsid w:val="007B5253"/>
    <w:rsid w:val="007B56FB"/>
    <w:rsid w:val="007B577B"/>
    <w:rsid w:val="007B5985"/>
    <w:rsid w:val="007B5FFF"/>
    <w:rsid w:val="007B630C"/>
    <w:rsid w:val="007B6B83"/>
    <w:rsid w:val="007B6E59"/>
    <w:rsid w:val="007B7006"/>
    <w:rsid w:val="007B7DC2"/>
    <w:rsid w:val="007C0408"/>
    <w:rsid w:val="007C0778"/>
    <w:rsid w:val="007C0804"/>
    <w:rsid w:val="007C1145"/>
    <w:rsid w:val="007C1257"/>
    <w:rsid w:val="007C193C"/>
    <w:rsid w:val="007C215F"/>
    <w:rsid w:val="007C21FD"/>
    <w:rsid w:val="007C23E8"/>
    <w:rsid w:val="007C24D8"/>
    <w:rsid w:val="007C31BE"/>
    <w:rsid w:val="007C3F88"/>
    <w:rsid w:val="007C3FC9"/>
    <w:rsid w:val="007C41DD"/>
    <w:rsid w:val="007C4584"/>
    <w:rsid w:val="007C4F8D"/>
    <w:rsid w:val="007C57D8"/>
    <w:rsid w:val="007C5840"/>
    <w:rsid w:val="007C6349"/>
    <w:rsid w:val="007C64DA"/>
    <w:rsid w:val="007C6EF8"/>
    <w:rsid w:val="007C6FDF"/>
    <w:rsid w:val="007C75CC"/>
    <w:rsid w:val="007C78CD"/>
    <w:rsid w:val="007C7954"/>
    <w:rsid w:val="007C7D27"/>
    <w:rsid w:val="007D0883"/>
    <w:rsid w:val="007D0A3A"/>
    <w:rsid w:val="007D0B64"/>
    <w:rsid w:val="007D0E49"/>
    <w:rsid w:val="007D0FE8"/>
    <w:rsid w:val="007D125C"/>
    <w:rsid w:val="007D1696"/>
    <w:rsid w:val="007D1DD6"/>
    <w:rsid w:val="007D1F98"/>
    <w:rsid w:val="007D208D"/>
    <w:rsid w:val="007D2110"/>
    <w:rsid w:val="007D29CD"/>
    <w:rsid w:val="007D2AB5"/>
    <w:rsid w:val="007D2F23"/>
    <w:rsid w:val="007D4E41"/>
    <w:rsid w:val="007D51E7"/>
    <w:rsid w:val="007D681B"/>
    <w:rsid w:val="007D6973"/>
    <w:rsid w:val="007D6E84"/>
    <w:rsid w:val="007D7013"/>
    <w:rsid w:val="007D7018"/>
    <w:rsid w:val="007D75F9"/>
    <w:rsid w:val="007D78F4"/>
    <w:rsid w:val="007D79F5"/>
    <w:rsid w:val="007E0484"/>
    <w:rsid w:val="007E0C97"/>
    <w:rsid w:val="007E1068"/>
    <w:rsid w:val="007E134C"/>
    <w:rsid w:val="007E1819"/>
    <w:rsid w:val="007E18D6"/>
    <w:rsid w:val="007E2709"/>
    <w:rsid w:val="007E2A5E"/>
    <w:rsid w:val="007E448E"/>
    <w:rsid w:val="007E469C"/>
    <w:rsid w:val="007E49B1"/>
    <w:rsid w:val="007E5183"/>
    <w:rsid w:val="007E57B3"/>
    <w:rsid w:val="007E613A"/>
    <w:rsid w:val="007E75FD"/>
    <w:rsid w:val="007E7BD4"/>
    <w:rsid w:val="007F0208"/>
    <w:rsid w:val="007F053D"/>
    <w:rsid w:val="007F0732"/>
    <w:rsid w:val="007F0EDD"/>
    <w:rsid w:val="007F11D9"/>
    <w:rsid w:val="007F13AD"/>
    <w:rsid w:val="007F23EA"/>
    <w:rsid w:val="007F2402"/>
    <w:rsid w:val="007F2516"/>
    <w:rsid w:val="007F28A0"/>
    <w:rsid w:val="007F2B41"/>
    <w:rsid w:val="007F2C20"/>
    <w:rsid w:val="007F3508"/>
    <w:rsid w:val="007F391D"/>
    <w:rsid w:val="007F4354"/>
    <w:rsid w:val="007F49FC"/>
    <w:rsid w:val="007F4A33"/>
    <w:rsid w:val="007F4E30"/>
    <w:rsid w:val="007F6A5E"/>
    <w:rsid w:val="007F6AD6"/>
    <w:rsid w:val="007F6B95"/>
    <w:rsid w:val="007F6F5A"/>
    <w:rsid w:val="007F70B7"/>
    <w:rsid w:val="007F7108"/>
    <w:rsid w:val="007F725F"/>
    <w:rsid w:val="007F7DFD"/>
    <w:rsid w:val="00800131"/>
    <w:rsid w:val="00801200"/>
    <w:rsid w:val="00801219"/>
    <w:rsid w:val="0080124E"/>
    <w:rsid w:val="008012B2"/>
    <w:rsid w:val="008017D9"/>
    <w:rsid w:val="00802613"/>
    <w:rsid w:val="00802AFE"/>
    <w:rsid w:val="00802FE1"/>
    <w:rsid w:val="008032D9"/>
    <w:rsid w:val="008033A5"/>
    <w:rsid w:val="008036CA"/>
    <w:rsid w:val="00803CA5"/>
    <w:rsid w:val="00804865"/>
    <w:rsid w:val="008057B1"/>
    <w:rsid w:val="008062C2"/>
    <w:rsid w:val="008062D4"/>
    <w:rsid w:val="008068E3"/>
    <w:rsid w:val="008069B7"/>
    <w:rsid w:val="00806A3C"/>
    <w:rsid w:val="00807155"/>
    <w:rsid w:val="0080776B"/>
    <w:rsid w:val="00807822"/>
    <w:rsid w:val="00807D8E"/>
    <w:rsid w:val="00807DCC"/>
    <w:rsid w:val="008101BB"/>
    <w:rsid w:val="00810D73"/>
    <w:rsid w:val="0081190D"/>
    <w:rsid w:val="0081204D"/>
    <w:rsid w:val="008120CB"/>
    <w:rsid w:val="00812511"/>
    <w:rsid w:val="00812AFB"/>
    <w:rsid w:val="00812F7F"/>
    <w:rsid w:val="00812FBD"/>
    <w:rsid w:val="00812FDD"/>
    <w:rsid w:val="00813365"/>
    <w:rsid w:val="00813441"/>
    <w:rsid w:val="00813AF6"/>
    <w:rsid w:val="00814C7D"/>
    <w:rsid w:val="00814C82"/>
    <w:rsid w:val="00815310"/>
    <w:rsid w:val="008153F4"/>
    <w:rsid w:val="008154AE"/>
    <w:rsid w:val="00815DBD"/>
    <w:rsid w:val="0081613F"/>
    <w:rsid w:val="00816A60"/>
    <w:rsid w:val="00816F7D"/>
    <w:rsid w:val="00817109"/>
    <w:rsid w:val="008171D5"/>
    <w:rsid w:val="00817715"/>
    <w:rsid w:val="0082061A"/>
    <w:rsid w:val="00820755"/>
    <w:rsid w:val="0082084F"/>
    <w:rsid w:val="008209A6"/>
    <w:rsid w:val="008212C2"/>
    <w:rsid w:val="008226E4"/>
    <w:rsid w:val="0082349B"/>
    <w:rsid w:val="00823644"/>
    <w:rsid w:val="0082380C"/>
    <w:rsid w:val="00823DAA"/>
    <w:rsid w:val="00823FB0"/>
    <w:rsid w:val="008242A3"/>
    <w:rsid w:val="008243EB"/>
    <w:rsid w:val="00824588"/>
    <w:rsid w:val="0082523B"/>
    <w:rsid w:val="00825C6C"/>
    <w:rsid w:val="00825FA3"/>
    <w:rsid w:val="008263AA"/>
    <w:rsid w:val="00826508"/>
    <w:rsid w:val="00826B2B"/>
    <w:rsid w:val="00826CA1"/>
    <w:rsid w:val="00826F7B"/>
    <w:rsid w:val="00827800"/>
    <w:rsid w:val="0082785E"/>
    <w:rsid w:val="008279C6"/>
    <w:rsid w:val="00827B06"/>
    <w:rsid w:val="00827C02"/>
    <w:rsid w:val="00830847"/>
    <w:rsid w:val="00830F78"/>
    <w:rsid w:val="0083139A"/>
    <w:rsid w:val="008320C2"/>
    <w:rsid w:val="008322AE"/>
    <w:rsid w:val="00832327"/>
    <w:rsid w:val="00832934"/>
    <w:rsid w:val="0083295C"/>
    <w:rsid w:val="00832D49"/>
    <w:rsid w:val="00832F72"/>
    <w:rsid w:val="008335E9"/>
    <w:rsid w:val="00833969"/>
    <w:rsid w:val="00833A05"/>
    <w:rsid w:val="00833DC3"/>
    <w:rsid w:val="0083493A"/>
    <w:rsid w:val="008350AC"/>
    <w:rsid w:val="0083512B"/>
    <w:rsid w:val="0083570A"/>
    <w:rsid w:val="00835881"/>
    <w:rsid w:val="00835BE6"/>
    <w:rsid w:val="00835D4D"/>
    <w:rsid w:val="00835D74"/>
    <w:rsid w:val="00835F0E"/>
    <w:rsid w:val="00836475"/>
    <w:rsid w:val="008366DF"/>
    <w:rsid w:val="00836A55"/>
    <w:rsid w:val="008406D9"/>
    <w:rsid w:val="00840E7F"/>
    <w:rsid w:val="008418A5"/>
    <w:rsid w:val="00841BB7"/>
    <w:rsid w:val="00841DCC"/>
    <w:rsid w:val="008424BB"/>
    <w:rsid w:val="00842D6F"/>
    <w:rsid w:val="00843078"/>
    <w:rsid w:val="0084357C"/>
    <w:rsid w:val="008442CD"/>
    <w:rsid w:val="00844480"/>
    <w:rsid w:val="008444D3"/>
    <w:rsid w:val="00844C58"/>
    <w:rsid w:val="00845168"/>
    <w:rsid w:val="008452D0"/>
    <w:rsid w:val="0084553B"/>
    <w:rsid w:val="008455F0"/>
    <w:rsid w:val="00845BB1"/>
    <w:rsid w:val="00846971"/>
    <w:rsid w:val="00846B03"/>
    <w:rsid w:val="00846D42"/>
    <w:rsid w:val="00847636"/>
    <w:rsid w:val="008476D2"/>
    <w:rsid w:val="00847F7D"/>
    <w:rsid w:val="00850042"/>
    <w:rsid w:val="0085037A"/>
    <w:rsid w:val="00850D51"/>
    <w:rsid w:val="0085110C"/>
    <w:rsid w:val="00851162"/>
    <w:rsid w:val="00851F45"/>
    <w:rsid w:val="008523BC"/>
    <w:rsid w:val="00853350"/>
    <w:rsid w:val="00854DBD"/>
    <w:rsid w:val="00854EEE"/>
    <w:rsid w:val="00856EA2"/>
    <w:rsid w:val="00857E3F"/>
    <w:rsid w:val="008602D8"/>
    <w:rsid w:val="00860A91"/>
    <w:rsid w:val="00860D36"/>
    <w:rsid w:val="00860DA9"/>
    <w:rsid w:val="00861C12"/>
    <w:rsid w:val="00861F1B"/>
    <w:rsid w:val="0086202D"/>
    <w:rsid w:val="00862344"/>
    <w:rsid w:val="00862950"/>
    <w:rsid w:val="00863B1D"/>
    <w:rsid w:val="00863DD0"/>
    <w:rsid w:val="00863EA8"/>
    <w:rsid w:val="008643FA"/>
    <w:rsid w:val="008646F6"/>
    <w:rsid w:val="008647E0"/>
    <w:rsid w:val="00864D95"/>
    <w:rsid w:val="00864E46"/>
    <w:rsid w:val="0086538B"/>
    <w:rsid w:val="008659D2"/>
    <w:rsid w:val="0086668D"/>
    <w:rsid w:val="00866A07"/>
    <w:rsid w:val="00866C82"/>
    <w:rsid w:val="00867C5F"/>
    <w:rsid w:val="00870457"/>
    <w:rsid w:val="008705E2"/>
    <w:rsid w:val="0087063F"/>
    <w:rsid w:val="00870DE7"/>
    <w:rsid w:val="008716F7"/>
    <w:rsid w:val="00871823"/>
    <w:rsid w:val="008723FA"/>
    <w:rsid w:val="008728A7"/>
    <w:rsid w:val="00872964"/>
    <w:rsid w:val="00872DDC"/>
    <w:rsid w:val="008732B3"/>
    <w:rsid w:val="00873377"/>
    <w:rsid w:val="00873AD0"/>
    <w:rsid w:val="00873D01"/>
    <w:rsid w:val="0087427D"/>
    <w:rsid w:val="00874450"/>
    <w:rsid w:val="00874D43"/>
    <w:rsid w:val="0087560B"/>
    <w:rsid w:val="00875722"/>
    <w:rsid w:val="0087583C"/>
    <w:rsid w:val="00875E5C"/>
    <w:rsid w:val="00875EB6"/>
    <w:rsid w:val="00875EF8"/>
    <w:rsid w:val="00876447"/>
    <w:rsid w:val="008770DE"/>
    <w:rsid w:val="0087730D"/>
    <w:rsid w:val="0087745D"/>
    <w:rsid w:val="0087792C"/>
    <w:rsid w:val="0087797B"/>
    <w:rsid w:val="00877CF3"/>
    <w:rsid w:val="008805EA"/>
    <w:rsid w:val="008808B0"/>
    <w:rsid w:val="00880A6E"/>
    <w:rsid w:val="00881B19"/>
    <w:rsid w:val="00881E01"/>
    <w:rsid w:val="008829F0"/>
    <w:rsid w:val="00882A2C"/>
    <w:rsid w:val="0088369E"/>
    <w:rsid w:val="008845EF"/>
    <w:rsid w:val="00884695"/>
    <w:rsid w:val="008869C9"/>
    <w:rsid w:val="00886F14"/>
    <w:rsid w:val="008872E1"/>
    <w:rsid w:val="008874B3"/>
    <w:rsid w:val="008903DA"/>
    <w:rsid w:val="0089067E"/>
    <w:rsid w:val="00890E24"/>
    <w:rsid w:val="00890E6F"/>
    <w:rsid w:val="008913D6"/>
    <w:rsid w:val="008913E8"/>
    <w:rsid w:val="00891491"/>
    <w:rsid w:val="00892973"/>
    <w:rsid w:val="00892DD4"/>
    <w:rsid w:val="00892E4D"/>
    <w:rsid w:val="00892FFF"/>
    <w:rsid w:val="0089334D"/>
    <w:rsid w:val="0089339A"/>
    <w:rsid w:val="00893628"/>
    <w:rsid w:val="00894A04"/>
    <w:rsid w:val="00894A38"/>
    <w:rsid w:val="008953F2"/>
    <w:rsid w:val="0089556D"/>
    <w:rsid w:val="00897B65"/>
    <w:rsid w:val="00897D92"/>
    <w:rsid w:val="008A0474"/>
    <w:rsid w:val="008A0BD9"/>
    <w:rsid w:val="008A0D06"/>
    <w:rsid w:val="008A0F22"/>
    <w:rsid w:val="008A13AF"/>
    <w:rsid w:val="008A16B1"/>
    <w:rsid w:val="008A175B"/>
    <w:rsid w:val="008A17A6"/>
    <w:rsid w:val="008A191E"/>
    <w:rsid w:val="008A24A9"/>
    <w:rsid w:val="008A3044"/>
    <w:rsid w:val="008A310B"/>
    <w:rsid w:val="008A31C1"/>
    <w:rsid w:val="008A3442"/>
    <w:rsid w:val="008A36B3"/>
    <w:rsid w:val="008A3EF4"/>
    <w:rsid w:val="008A3F10"/>
    <w:rsid w:val="008A4A73"/>
    <w:rsid w:val="008A5485"/>
    <w:rsid w:val="008A5D08"/>
    <w:rsid w:val="008A616B"/>
    <w:rsid w:val="008A65D0"/>
    <w:rsid w:val="008A687F"/>
    <w:rsid w:val="008A73FE"/>
    <w:rsid w:val="008B01AC"/>
    <w:rsid w:val="008B06FD"/>
    <w:rsid w:val="008B15E6"/>
    <w:rsid w:val="008B1BC7"/>
    <w:rsid w:val="008B1C4A"/>
    <w:rsid w:val="008B21D9"/>
    <w:rsid w:val="008B22D4"/>
    <w:rsid w:val="008B2CFB"/>
    <w:rsid w:val="008B443F"/>
    <w:rsid w:val="008B4E9F"/>
    <w:rsid w:val="008B529B"/>
    <w:rsid w:val="008B52C5"/>
    <w:rsid w:val="008B58D2"/>
    <w:rsid w:val="008B59E4"/>
    <w:rsid w:val="008B65E3"/>
    <w:rsid w:val="008B6F8B"/>
    <w:rsid w:val="008B7700"/>
    <w:rsid w:val="008B7A39"/>
    <w:rsid w:val="008C0007"/>
    <w:rsid w:val="008C0846"/>
    <w:rsid w:val="008C0ADA"/>
    <w:rsid w:val="008C0EE9"/>
    <w:rsid w:val="008C1803"/>
    <w:rsid w:val="008C23D3"/>
    <w:rsid w:val="008C2733"/>
    <w:rsid w:val="008C2CE6"/>
    <w:rsid w:val="008C3572"/>
    <w:rsid w:val="008C48EB"/>
    <w:rsid w:val="008C4A03"/>
    <w:rsid w:val="008C4FD8"/>
    <w:rsid w:val="008C6B33"/>
    <w:rsid w:val="008C7047"/>
    <w:rsid w:val="008C7238"/>
    <w:rsid w:val="008C7702"/>
    <w:rsid w:val="008C7713"/>
    <w:rsid w:val="008C7D7A"/>
    <w:rsid w:val="008C7E27"/>
    <w:rsid w:val="008D0088"/>
    <w:rsid w:val="008D20FC"/>
    <w:rsid w:val="008D2296"/>
    <w:rsid w:val="008D269F"/>
    <w:rsid w:val="008D2E10"/>
    <w:rsid w:val="008D35F2"/>
    <w:rsid w:val="008D376F"/>
    <w:rsid w:val="008D398B"/>
    <w:rsid w:val="008D40E2"/>
    <w:rsid w:val="008D4721"/>
    <w:rsid w:val="008D4970"/>
    <w:rsid w:val="008D4D9C"/>
    <w:rsid w:val="008D5530"/>
    <w:rsid w:val="008D58AF"/>
    <w:rsid w:val="008D6AC2"/>
    <w:rsid w:val="008D6D73"/>
    <w:rsid w:val="008D6E2B"/>
    <w:rsid w:val="008D71EA"/>
    <w:rsid w:val="008D7642"/>
    <w:rsid w:val="008D7A28"/>
    <w:rsid w:val="008D7D9B"/>
    <w:rsid w:val="008E059C"/>
    <w:rsid w:val="008E06C8"/>
    <w:rsid w:val="008E09A4"/>
    <w:rsid w:val="008E0F1C"/>
    <w:rsid w:val="008E14F6"/>
    <w:rsid w:val="008E1C25"/>
    <w:rsid w:val="008E204D"/>
    <w:rsid w:val="008E229D"/>
    <w:rsid w:val="008E23C0"/>
    <w:rsid w:val="008E2420"/>
    <w:rsid w:val="008E291C"/>
    <w:rsid w:val="008E29F6"/>
    <w:rsid w:val="008E2A64"/>
    <w:rsid w:val="008E3384"/>
    <w:rsid w:val="008E35F9"/>
    <w:rsid w:val="008E38FF"/>
    <w:rsid w:val="008E3A2B"/>
    <w:rsid w:val="008E40E5"/>
    <w:rsid w:val="008E4610"/>
    <w:rsid w:val="008E53AC"/>
    <w:rsid w:val="008E54CF"/>
    <w:rsid w:val="008E6464"/>
    <w:rsid w:val="008E7932"/>
    <w:rsid w:val="008F0801"/>
    <w:rsid w:val="008F1FC2"/>
    <w:rsid w:val="008F23C3"/>
    <w:rsid w:val="008F2B8A"/>
    <w:rsid w:val="008F2E49"/>
    <w:rsid w:val="008F2FF6"/>
    <w:rsid w:val="008F2FF8"/>
    <w:rsid w:val="008F3A0C"/>
    <w:rsid w:val="008F4611"/>
    <w:rsid w:val="008F53B0"/>
    <w:rsid w:val="008F55B9"/>
    <w:rsid w:val="008F6008"/>
    <w:rsid w:val="008F6684"/>
    <w:rsid w:val="008F66E3"/>
    <w:rsid w:val="008F725D"/>
    <w:rsid w:val="008F72BC"/>
    <w:rsid w:val="00900923"/>
    <w:rsid w:val="00900BBB"/>
    <w:rsid w:val="00900EDA"/>
    <w:rsid w:val="00902450"/>
    <w:rsid w:val="00902530"/>
    <w:rsid w:val="00902653"/>
    <w:rsid w:val="009027F3"/>
    <w:rsid w:val="00903AF0"/>
    <w:rsid w:val="00903D9B"/>
    <w:rsid w:val="0090401C"/>
    <w:rsid w:val="00904621"/>
    <w:rsid w:val="00904F18"/>
    <w:rsid w:val="009055A8"/>
    <w:rsid w:val="00905AD3"/>
    <w:rsid w:val="00905CBA"/>
    <w:rsid w:val="00905E11"/>
    <w:rsid w:val="00905F48"/>
    <w:rsid w:val="00906092"/>
    <w:rsid w:val="0090619C"/>
    <w:rsid w:val="009066E6"/>
    <w:rsid w:val="00906AC2"/>
    <w:rsid w:val="00906C10"/>
    <w:rsid w:val="009070E3"/>
    <w:rsid w:val="0090779E"/>
    <w:rsid w:val="00907A6B"/>
    <w:rsid w:val="00907C00"/>
    <w:rsid w:val="0091051C"/>
    <w:rsid w:val="009106A9"/>
    <w:rsid w:val="009111F4"/>
    <w:rsid w:val="0091202F"/>
    <w:rsid w:val="00912233"/>
    <w:rsid w:val="00913C5E"/>
    <w:rsid w:val="00913FF2"/>
    <w:rsid w:val="0091539E"/>
    <w:rsid w:val="0091563E"/>
    <w:rsid w:val="00916392"/>
    <w:rsid w:val="00916960"/>
    <w:rsid w:val="00917246"/>
    <w:rsid w:val="0091728D"/>
    <w:rsid w:val="009175FE"/>
    <w:rsid w:val="00920888"/>
    <w:rsid w:val="00920CF2"/>
    <w:rsid w:val="00920D0A"/>
    <w:rsid w:val="00920EE8"/>
    <w:rsid w:val="009210A0"/>
    <w:rsid w:val="009216B4"/>
    <w:rsid w:val="00921863"/>
    <w:rsid w:val="00922857"/>
    <w:rsid w:val="00922A13"/>
    <w:rsid w:val="00922D70"/>
    <w:rsid w:val="0092368D"/>
    <w:rsid w:val="0092377E"/>
    <w:rsid w:val="00923BA4"/>
    <w:rsid w:val="00924AF8"/>
    <w:rsid w:val="00924CE4"/>
    <w:rsid w:val="0092503B"/>
    <w:rsid w:val="009251E6"/>
    <w:rsid w:val="00925D23"/>
    <w:rsid w:val="009262A0"/>
    <w:rsid w:val="00926F44"/>
    <w:rsid w:val="00927846"/>
    <w:rsid w:val="00930416"/>
    <w:rsid w:val="009307AA"/>
    <w:rsid w:val="00930C92"/>
    <w:rsid w:val="00930E1B"/>
    <w:rsid w:val="009316C5"/>
    <w:rsid w:val="00931931"/>
    <w:rsid w:val="00931A29"/>
    <w:rsid w:val="00931BF3"/>
    <w:rsid w:val="009320D7"/>
    <w:rsid w:val="00932682"/>
    <w:rsid w:val="0093320D"/>
    <w:rsid w:val="009334F7"/>
    <w:rsid w:val="00933EFD"/>
    <w:rsid w:val="00934B99"/>
    <w:rsid w:val="00935016"/>
    <w:rsid w:val="0093534B"/>
    <w:rsid w:val="00936119"/>
    <w:rsid w:val="009363E7"/>
    <w:rsid w:val="009366D7"/>
    <w:rsid w:val="0093687B"/>
    <w:rsid w:val="009369B0"/>
    <w:rsid w:val="00937396"/>
    <w:rsid w:val="009377B4"/>
    <w:rsid w:val="009378AE"/>
    <w:rsid w:val="00937B2E"/>
    <w:rsid w:val="0094006E"/>
    <w:rsid w:val="00940257"/>
    <w:rsid w:val="009410F3"/>
    <w:rsid w:val="00941CC4"/>
    <w:rsid w:val="00942578"/>
    <w:rsid w:val="00942A4A"/>
    <w:rsid w:val="00943D47"/>
    <w:rsid w:val="00943F01"/>
    <w:rsid w:val="0094473E"/>
    <w:rsid w:val="009455A7"/>
    <w:rsid w:val="00945817"/>
    <w:rsid w:val="00946A30"/>
    <w:rsid w:val="00946D47"/>
    <w:rsid w:val="00946D76"/>
    <w:rsid w:val="009474BA"/>
    <w:rsid w:val="009475B8"/>
    <w:rsid w:val="0094786D"/>
    <w:rsid w:val="00947F2C"/>
    <w:rsid w:val="009500D6"/>
    <w:rsid w:val="009510DA"/>
    <w:rsid w:val="00951295"/>
    <w:rsid w:val="00951302"/>
    <w:rsid w:val="00951BD9"/>
    <w:rsid w:val="0095269C"/>
    <w:rsid w:val="00952B37"/>
    <w:rsid w:val="00952D72"/>
    <w:rsid w:val="00953126"/>
    <w:rsid w:val="009532ED"/>
    <w:rsid w:val="00953347"/>
    <w:rsid w:val="00953B00"/>
    <w:rsid w:val="00954007"/>
    <w:rsid w:val="00954416"/>
    <w:rsid w:val="00954B88"/>
    <w:rsid w:val="00954C63"/>
    <w:rsid w:val="00954D78"/>
    <w:rsid w:val="00955200"/>
    <w:rsid w:val="00955F83"/>
    <w:rsid w:val="009562A2"/>
    <w:rsid w:val="00956D2B"/>
    <w:rsid w:val="00957722"/>
    <w:rsid w:val="00961858"/>
    <w:rsid w:val="00961B49"/>
    <w:rsid w:val="00961E71"/>
    <w:rsid w:val="009622F3"/>
    <w:rsid w:val="00962547"/>
    <w:rsid w:val="00962785"/>
    <w:rsid w:val="00962EF1"/>
    <w:rsid w:val="00963183"/>
    <w:rsid w:val="0096331E"/>
    <w:rsid w:val="00963A97"/>
    <w:rsid w:val="00964182"/>
    <w:rsid w:val="00965149"/>
    <w:rsid w:val="00965877"/>
    <w:rsid w:val="009658B6"/>
    <w:rsid w:val="00965987"/>
    <w:rsid w:val="00965F20"/>
    <w:rsid w:val="009661B5"/>
    <w:rsid w:val="00966220"/>
    <w:rsid w:val="0096636E"/>
    <w:rsid w:val="00967145"/>
    <w:rsid w:val="0097103E"/>
    <w:rsid w:val="009718E2"/>
    <w:rsid w:val="00971DC1"/>
    <w:rsid w:val="009721B3"/>
    <w:rsid w:val="00973173"/>
    <w:rsid w:val="00973276"/>
    <w:rsid w:val="009735EC"/>
    <w:rsid w:val="009738F1"/>
    <w:rsid w:val="009741A0"/>
    <w:rsid w:val="00974295"/>
    <w:rsid w:val="00974369"/>
    <w:rsid w:val="009745D6"/>
    <w:rsid w:val="00974BE6"/>
    <w:rsid w:val="00975224"/>
    <w:rsid w:val="0097561A"/>
    <w:rsid w:val="0097599C"/>
    <w:rsid w:val="009759A4"/>
    <w:rsid w:val="009763F9"/>
    <w:rsid w:val="009769BF"/>
    <w:rsid w:val="00976A7B"/>
    <w:rsid w:val="00976C14"/>
    <w:rsid w:val="00977E9E"/>
    <w:rsid w:val="00977F5E"/>
    <w:rsid w:val="00980025"/>
    <w:rsid w:val="00980CFA"/>
    <w:rsid w:val="00980FFC"/>
    <w:rsid w:val="00981461"/>
    <w:rsid w:val="00981C00"/>
    <w:rsid w:val="00981E24"/>
    <w:rsid w:val="009823C9"/>
    <w:rsid w:val="00984469"/>
    <w:rsid w:val="0098628D"/>
    <w:rsid w:val="009869EA"/>
    <w:rsid w:val="009907A7"/>
    <w:rsid w:val="00990E20"/>
    <w:rsid w:val="00990E41"/>
    <w:rsid w:val="009915B8"/>
    <w:rsid w:val="00991830"/>
    <w:rsid w:val="00991D82"/>
    <w:rsid w:val="009920FA"/>
    <w:rsid w:val="00992A97"/>
    <w:rsid w:val="00992F2C"/>
    <w:rsid w:val="0099338D"/>
    <w:rsid w:val="00993450"/>
    <w:rsid w:val="00993A0E"/>
    <w:rsid w:val="00993F45"/>
    <w:rsid w:val="00993F83"/>
    <w:rsid w:val="00993F8E"/>
    <w:rsid w:val="00993F9C"/>
    <w:rsid w:val="00994303"/>
    <w:rsid w:val="0099440A"/>
    <w:rsid w:val="00994872"/>
    <w:rsid w:val="0099514D"/>
    <w:rsid w:val="009951E7"/>
    <w:rsid w:val="009953EF"/>
    <w:rsid w:val="0099631F"/>
    <w:rsid w:val="009967CF"/>
    <w:rsid w:val="00996873"/>
    <w:rsid w:val="00996C8E"/>
    <w:rsid w:val="00997324"/>
    <w:rsid w:val="009A00F0"/>
    <w:rsid w:val="009A05CA"/>
    <w:rsid w:val="009A0C14"/>
    <w:rsid w:val="009A2192"/>
    <w:rsid w:val="009A26C9"/>
    <w:rsid w:val="009A29EC"/>
    <w:rsid w:val="009A2BFC"/>
    <w:rsid w:val="009A2EEF"/>
    <w:rsid w:val="009A35AD"/>
    <w:rsid w:val="009A35EC"/>
    <w:rsid w:val="009A3EBD"/>
    <w:rsid w:val="009A4586"/>
    <w:rsid w:val="009A4971"/>
    <w:rsid w:val="009A4B10"/>
    <w:rsid w:val="009A5052"/>
    <w:rsid w:val="009A5273"/>
    <w:rsid w:val="009A53BB"/>
    <w:rsid w:val="009A54C7"/>
    <w:rsid w:val="009A5C5E"/>
    <w:rsid w:val="009A5FCA"/>
    <w:rsid w:val="009A614F"/>
    <w:rsid w:val="009A6ADE"/>
    <w:rsid w:val="009A6BF1"/>
    <w:rsid w:val="009A709D"/>
    <w:rsid w:val="009A764A"/>
    <w:rsid w:val="009A777B"/>
    <w:rsid w:val="009A7EF1"/>
    <w:rsid w:val="009B0135"/>
    <w:rsid w:val="009B06AC"/>
    <w:rsid w:val="009B0CFB"/>
    <w:rsid w:val="009B0E54"/>
    <w:rsid w:val="009B0EB7"/>
    <w:rsid w:val="009B0F68"/>
    <w:rsid w:val="009B1839"/>
    <w:rsid w:val="009B1AF3"/>
    <w:rsid w:val="009B1DB6"/>
    <w:rsid w:val="009B2EFB"/>
    <w:rsid w:val="009B37BE"/>
    <w:rsid w:val="009B3AE0"/>
    <w:rsid w:val="009B3D8B"/>
    <w:rsid w:val="009B413D"/>
    <w:rsid w:val="009B4226"/>
    <w:rsid w:val="009B46B4"/>
    <w:rsid w:val="009B4897"/>
    <w:rsid w:val="009B4C35"/>
    <w:rsid w:val="009B5A91"/>
    <w:rsid w:val="009B602B"/>
    <w:rsid w:val="009B68F3"/>
    <w:rsid w:val="009B69CE"/>
    <w:rsid w:val="009C044E"/>
    <w:rsid w:val="009C04D7"/>
    <w:rsid w:val="009C0532"/>
    <w:rsid w:val="009C0BC2"/>
    <w:rsid w:val="009C1B01"/>
    <w:rsid w:val="009C1BCF"/>
    <w:rsid w:val="009C1EE8"/>
    <w:rsid w:val="009C1EEF"/>
    <w:rsid w:val="009C211C"/>
    <w:rsid w:val="009C22D7"/>
    <w:rsid w:val="009C2728"/>
    <w:rsid w:val="009C2D1C"/>
    <w:rsid w:val="009C3B38"/>
    <w:rsid w:val="009C4802"/>
    <w:rsid w:val="009C51F4"/>
    <w:rsid w:val="009C56F5"/>
    <w:rsid w:val="009C58E3"/>
    <w:rsid w:val="009C609C"/>
    <w:rsid w:val="009C6752"/>
    <w:rsid w:val="009C6839"/>
    <w:rsid w:val="009C6CE6"/>
    <w:rsid w:val="009C71CD"/>
    <w:rsid w:val="009C728C"/>
    <w:rsid w:val="009D0117"/>
    <w:rsid w:val="009D0B83"/>
    <w:rsid w:val="009D15C1"/>
    <w:rsid w:val="009D1D31"/>
    <w:rsid w:val="009D1E50"/>
    <w:rsid w:val="009D2A25"/>
    <w:rsid w:val="009D30EE"/>
    <w:rsid w:val="009D323B"/>
    <w:rsid w:val="009D32BC"/>
    <w:rsid w:val="009D3412"/>
    <w:rsid w:val="009D3580"/>
    <w:rsid w:val="009D3CF8"/>
    <w:rsid w:val="009D3D55"/>
    <w:rsid w:val="009D3EB6"/>
    <w:rsid w:val="009D4043"/>
    <w:rsid w:val="009D528F"/>
    <w:rsid w:val="009D6704"/>
    <w:rsid w:val="009D6D4A"/>
    <w:rsid w:val="009D6F16"/>
    <w:rsid w:val="009D78DB"/>
    <w:rsid w:val="009D7979"/>
    <w:rsid w:val="009E01A4"/>
    <w:rsid w:val="009E03D0"/>
    <w:rsid w:val="009E08A8"/>
    <w:rsid w:val="009E0998"/>
    <w:rsid w:val="009E19C3"/>
    <w:rsid w:val="009E1CA5"/>
    <w:rsid w:val="009E1ED3"/>
    <w:rsid w:val="009E2A22"/>
    <w:rsid w:val="009E2A7E"/>
    <w:rsid w:val="009E2C98"/>
    <w:rsid w:val="009E2F0C"/>
    <w:rsid w:val="009E413C"/>
    <w:rsid w:val="009E4520"/>
    <w:rsid w:val="009E4A22"/>
    <w:rsid w:val="009E4A5D"/>
    <w:rsid w:val="009E531B"/>
    <w:rsid w:val="009E5975"/>
    <w:rsid w:val="009E6286"/>
    <w:rsid w:val="009E688F"/>
    <w:rsid w:val="009E6B8C"/>
    <w:rsid w:val="009E6FC1"/>
    <w:rsid w:val="009E739B"/>
    <w:rsid w:val="009E769F"/>
    <w:rsid w:val="009E77A4"/>
    <w:rsid w:val="009E7AE3"/>
    <w:rsid w:val="009E7DA8"/>
    <w:rsid w:val="009E7F3A"/>
    <w:rsid w:val="009E7F7F"/>
    <w:rsid w:val="009F0103"/>
    <w:rsid w:val="009F0E95"/>
    <w:rsid w:val="009F0F00"/>
    <w:rsid w:val="009F0FF7"/>
    <w:rsid w:val="009F1012"/>
    <w:rsid w:val="009F1EA1"/>
    <w:rsid w:val="009F2572"/>
    <w:rsid w:val="009F347C"/>
    <w:rsid w:val="009F39B1"/>
    <w:rsid w:val="009F3CDE"/>
    <w:rsid w:val="009F3D44"/>
    <w:rsid w:val="009F4B5A"/>
    <w:rsid w:val="009F537A"/>
    <w:rsid w:val="009F6147"/>
    <w:rsid w:val="009F6334"/>
    <w:rsid w:val="009F6D7D"/>
    <w:rsid w:val="009F6E3E"/>
    <w:rsid w:val="009F71CE"/>
    <w:rsid w:val="009F7FFD"/>
    <w:rsid w:val="00A00334"/>
    <w:rsid w:val="00A00AB2"/>
    <w:rsid w:val="00A012B0"/>
    <w:rsid w:val="00A012CD"/>
    <w:rsid w:val="00A013C1"/>
    <w:rsid w:val="00A017FF"/>
    <w:rsid w:val="00A01987"/>
    <w:rsid w:val="00A02755"/>
    <w:rsid w:val="00A033C0"/>
    <w:rsid w:val="00A03538"/>
    <w:rsid w:val="00A03CE8"/>
    <w:rsid w:val="00A040DD"/>
    <w:rsid w:val="00A04667"/>
    <w:rsid w:val="00A04B06"/>
    <w:rsid w:val="00A058C9"/>
    <w:rsid w:val="00A068DE"/>
    <w:rsid w:val="00A06934"/>
    <w:rsid w:val="00A06EAC"/>
    <w:rsid w:val="00A07FD8"/>
    <w:rsid w:val="00A101AB"/>
    <w:rsid w:val="00A10659"/>
    <w:rsid w:val="00A10BB8"/>
    <w:rsid w:val="00A11194"/>
    <w:rsid w:val="00A111F2"/>
    <w:rsid w:val="00A1152C"/>
    <w:rsid w:val="00A11698"/>
    <w:rsid w:val="00A12011"/>
    <w:rsid w:val="00A1243D"/>
    <w:rsid w:val="00A12645"/>
    <w:rsid w:val="00A1287C"/>
    <w:rsid w:val="00A13095"/>
    <w:rsid w:val="00A135DC"/>
    <w:rsid w:val="00A13F52"/>
    <w:rsid w:val="00A14166"/>
    <w:rsid w:val="00A14773"/>
    <w:rsid w:val="00A14777"/>
    <w:rsid w:val="00A14A73"/>
    <w:rsid w:val="00A14BCD"/>
    <w:rsid w:val="00A15714"/>
    <w:rsid w:val="00A1573B"/>
    <w:rsid w:val="00A167E1"/>
    <w:rsid w:val="00A16FEE"/>
    <w:rsid w:val="00A17039"/>
    <w:rsid w:val="00A17795"/>
    <w:rsid w:val="00A17FAD"/>
    <w:rsid w:val="00A20250"/>
    <w:rsid w:val="00A2075E"/>
    <w:rsid w:val="00A20CA2"/>
    <w:rsid w:val="00A21053"/>
    <w:rsid w:val="00A21116"/>
    <w:rsid w:val="00A215A1"/>
    <w:rsid w:val="00A216DD"/>
    <w:rsid w:val="00A21900"/>
    <w:rsid w:val="00A22023"/>
    <w:rsid w:val="00A221AE"/>
    <w:rsid w:val="00A22586"/>
    <w:rsid w:val="00A23430"/>
    <w:rsid w:val="00A23526"/>
    <w:rsid w:val="00A23A01"/>
    <w:rsid w:val="00A24145"/>
    <w:rsid w:val="00A24703"/>
    <w:rsid w:val="00A24936"/>
    <w:rsid w:val="00A25168"/>
    <w:rsid w:val="00A27943"/>
    <w:rsid w:val="00A27E1C"/>
    <w:rsid w:val="00A307E6"/>
    <w:rsid w:val="00A30B5D"/>
    <w:rsid w:val="00A30C1A"/>
    <w:rsid w:val="00A31144"/>
    <w:rsid w:val="00A3139A"/>
    <w:rsid w:val="00A313F3"/>
    <w:rsid w:val="00A3164C"/>
    <w:rsid w:val="00A31D11"/>
    <w:rsid w:val="00A31D33"/>
    <w:rsid w:val="00A32B75"/>
    <w:rsid w:val="00A33157"/>
    <w:rsid w:val="00A334E8"/>
    <w:rsid w:val="00A349FC"/>
    <w:rsid w:val="00A3585B"/>
    <w:rsid w:val="00A370FA"/>
    <w:rsid w:val="00A372FF"/>
    <w:rsid w:val="00A37D4D"/>
    <w:rsid w:val="00A4022E"/>
    <w:rsid w:val="00A40384"/>
    <w:rsid w:val="00A406A3"/>
    <w:rsid w:val="00A40766"/>
    <w:rsid w:val="00A40C5C"/>
    <w:rsid w:val="00A41C28"/>
    <w:rsid w:val="00A42DDC"/>
    <w:rsid w:val="00A43AEF"/>
    <w:rsid w:val="00A441C9"/>
    <w:rsid w:val="00A455C8"/>
    <w:rsid w:val="00A464BA"/>
    <w:rsid w:val="00A46874"/>
    <w:rsid w:val="00A47CF1"/>
    <w:rsid w:val="00A47DE2"/>
    <w:rsid w:val="00A501A3"/>
    <w:rsid w:val="00A501FB"/>
    <w:rsid w:val="00A502B1"/>
    <w:rsid w:val="00A5030C"/>
    <w:rsid w:val="00A50AD4"/>
    <w:rsid w:val="00A51637"/>
    <w:rsid w:val="00A518BF"/>
    <w:rsid w:val="00A51B9B"/>
    <w:rsid w:val="00A51D8C"/>
    <w:rsid w:val="00A522ED"/>
    <w:rsid w:val="00A527AD"/>
    <w:rsid w:val="00A52B0A"/>
    <w:rsid w:val="00A52B59"/>
    <w:rsid w:val="00A52E37"/>
    <w:rsid w:val="00A53149"/>
    <w:rsid w:val="00A53A82"/>
    <w:rsid w:val="00A53D62"/>
    <w:rsid w:val="00A540DA"/>
    <w:rsid w:val="00A54433"/>
    <w:rsid w:val="00A55812"/>
    <w:rsid w:val="00A55C2B"/>
    <w:rsid w:val="00A55DF0"/>
    <w:rsid w:val="00A56227"/>
    <w:rsid w:val="00A57D25"/>
    <w:rsid w:val="00A57EB2"/>
    <w:rsid w:val="00A6099D"/>
    <w:rsid w:val="00A61277"/>
    <w:rsid w:val="00A61364"/>
    <w:rsid w:val="00A61761"/>
    <w:rsid w:val="00A61BE2"/>
    <w:rsid w:val="00A6219F"/>
    <w:rsid w:val="00A62FF9"/>
    <w:rsid w:val="00A630A0"/>
    <w:rsid w:val="00A63376"/>
    <w:rsid w:val="00A63F27"/>
    <w:rsid w:val="00A64E12"/>
    <w:rsid w:val="00A65230"/>
    <w:rsid w:val="00A663AC"/>
    <w:rsid w:val="00A66710"/>
    <w:rsid w:val="00A66FBB"/>
    <w:rsid w:val="00A67326"/>
    <w:rsid w:val="00A6739A"/>
    <w:rsid w:val="00A673FA"/>
    <w:rsid w:val="00A67937"/>
    <w:rsid w:val="00A67D4C"/>
    <w:rsid w:val="00A67F9F"/>
    <w:rsid w:val="00A70742"/>
    <w:rsid w:val="00A70A89"/>
    <w:rsid w:val="00A70AC1"/>
    <w:rsid w:val="00A70C13"/>
    <w:rsid w:val="00A712A6"/>
    <w:rsid w:val="00A712B0"/>
    <w:rsid w:val="00A71319"/>
    <w:rsid w:val="00A7188C"/>
    <w:rsid w:val="00A71D29"/>
    <w:rsid w:val="00A73087"/>
    <w:rsid w:val="00A73414"/>
    <w:rsid w:val="00A73CB3"/>
    <w:rsid w:val="00A73F34"/>
    <w:rsid w:val="00A74336"/>
    <w:rsid w:val="00A74798"/>
    <w:rsid w:val="00A74C26"/>
    <w:rsid w:val="00A75D06"/>
    <w:rsid w:val="00A75E2E"/>
    <w:rsid w:val="00A75F82"/>
    <w:rsid w:val="00A76266"/>
    <w:rsid w:val="00A76C9E"/>
    <w:rsid w:val="00A76D42"/>
    <w:rsid w:val="00A77F00"/>
    <w:rsid w:val="00A8039B"/>
    <w:rsid w:val="00A80B44"/>
    <w:rsid w:val="00A8124B"/>
    <w:rsid w:val="00A819A7"/>
    <w:rsid w:val="00A8225A"/>
    <w:rsid w:val="00A828E4"/>
    <w:rsid w:val="00A83120"/>
    <w:rsid w:val="00A83572"/>
    <w:rsid w:val="00A83EF1"/>
    <w:rsid w:val="00A859BA"/>
    <w:rsid w:val="00A862C5"/>
    <w:rsid w:val="00A86400"/>
    <w:rsid w:val="00A86EE5"/>
    <w:rsid w:val="00A874FF"/>
    <w:rsid w:val="00A87D10"/>
    <w:rsid w:val="00A901B9"/>
    <w:rsid w:val="00A90AB5"/>
    <w:rsid w:val="00A90B2C"/>
    <w:rsid w:val="00A9298A"/>
    <w:rsid w:val="00A932EA"/>
    <w:rsid w:val="00A938F3"/>
    <w:rsid w:val="00A93F88"/>
    <w:rsid w:val="00A94C27"/>
    <w:rsid w:val="00A94C91"/>
    <w:rsid w:val="00A94D30"/>
    <w:rsid w:val="00A94FCB"/>
    <w:rsid w:val="00A94FF7"/>
    <w:rsid w:val="00A95459"/>
    <w:rsid w:val="00A9564B"/>
    <w:rsid w:val="00A95F01"/>
    <w:rsid w:val="00A963A6"/>
    <w:rsid w:val="00A9717C"/>
    <w:rsid w:val="00A975E2"/>
    <w:rsid w:val="00AA0A18"/>
    <w:rsid w:val="00AA0A70"/>
    <w:rsid w:val="00AA0D02"/>
    <w:rsid w:val="00AA1311"/>
    <w:rsid w:val="00AA2B5C"/>
    <w:rsid w:val="00AA2BBF"/>
    <w:rsid w:val="00AA2C5B"/>
    <w:rsid w:val="00AA3265"/>
    <w:rsid w:val="00AA4D67"/>
    <w:rsid w:val="00AA52AF"/>
    <w:rsid w:val="00AA53CF"/>
    <w:rsid w:val="00AA7088"/>
    <w:rsid w:val="00AB0AD9"/>
    <w:rsid w:val="00AB0EBA"/>
    <w:rsid w:val="00AB1071"/>
    <w:rsid w:val="00AB10E1"/>
    <w:rsid w:val="00AB1300"/>
    <w:rsid w:val="00AB20AB"/>
    <w:rsid w:val="00AB2769"/>
    <w:rsid w:val="00AB2A76"/>
    <w:rsid w:val="00AB2BB7"/>
    <w:rsid w:val="00AB2BF6"/>
    <w:rsid w:val="00AB31DA"/>
    <w:rsid w:val="00AB3471"/>
    <w:rsid w:val="00AB371F"/>
    <w:rsid w:val="00AB3ED2"/>
    <w:rsid w:val="00AB43AF"/>
    <w:rsid w:val="00AB4678"/>
    <w:rsid w:val="00AB4FA1"/>
    <w:rsid w:val="00AB4FEA"/>
    <w:rsid w:val="00AB514D"/>
    <w:rsid w:val="00AB5628"/>
    <w:rsid w:val="00AB5DF3"/>
    <w:rsid w:val="00AB6224"/>
    <w:rsid w:val="00AB6DC6"/>
    <w:rsid w:val="00AC0132"/>
    <w:rsid w:val="00AC025B"/>
    <w:rsid w:val="00AC0BCD"/>
    <w:rsid w:val="00AC0C5C"/>
    <w:rsid w:val="00AC0F08"/>
    <w:rsid w:val="00AC2B81"/>
    <w:rsid w:val="00AC2CC8"/>
    <w:rsid w:val="00AC3427"/>
    <w:rsid w:val="00AC346E"/>
    <w:rsid w:val="00AC3958"/>
    <w:rsid w:val="00AC3E00"/>
    <w:rsid w:val="00AC4633"/>
    <w:rsid w:val="00AC5F8E"/>
    <w:rsid w:val="00AC61A1"/>
    <w:rsid w:val="00AC67AF"/>
    <w:rsid w:val="00AC6C01"/>
    <w:rsid w:val="00AC7780"/>
    <w:rsid w:val="00AC7B5C"/>
    <w:rsid w:val="00AC7C9D"/>
    <w:rsid w:val="00AC7DE4"/>
    <w:rsid w:val="00AD040C"/>
    <w:rsid w:val="00AD0709"/>
    <w:rsid w:val="00AD0809"/>
    <w:rsid w:val="00AD12A5"/>
    <w:rsid w:val="00AD14E8"/>
    <w:rsid w:val="00AD1F8A"/>
    <w:rsid w:val="00AD2A44"/>
    <w:rsid w:val="00AD2EF2"/>
    <w:rsid w:val="00AD35C8"/>
    <w:rsid w:val="00AD3770"/>
    <w:rsid w:val="00AD3BE0"/>
    <w:rsid w:val="00AD4068"/>
    <w:rsid w:val="00AD418B"/>
    <w:rsid w:val="00AD5AC8"/>
    <w:rsid w:val="00AD5FCF"/>
    <w:rsid w:val="00AD608E"/>
    <w:rsid w:val="00AD6593"/>
    <w:rsid w:val="00AD7001"/>
    <w:rsid w:val="00AD7F24"/>
    <w:rsid w:val="00AE0496"/>
    <w:rsid w:val="00AE15FF"/>
    <w:rsid w:val="00AE1731"/>
    <w:rsid w:val="00AE19F3"/>
    <w:rsid w:val="00AE2063"/>
    <w:rsid w:val="00AE2295"/>
    <w:rsid w:val="00AE2A6E"/>
    <w:rsid w:val="00AE3698"/>
    <w:rsid w:val="00AE3A82"/>
    <w:rsid w:val="00AE42A9"/>
    <w:rsid w:val="00AE4351"/>
    <w:rsid w:val="00AE491B"/>
    <w:rsid w:val="00AE4B76"/>
    <w:rsid w:val="00AE4E1C"/>
    <w:rsid w:val="00AE50A6"/>
    <w:rsid w:val="00AE5981"/>
    <w:rsid w:val="00AE5BAE"/>
    <w:rsid w:val="00AE5EF5"/>
    <w:rsid w:val="00AE6672"/>
    <w:rsid w:val="00AE68E3"/>
    <w:rsid w:val="00AE6FF9"/>
    <w:rsid w:val="00AE7F28"/>
    <w:rsid w:val="00AF0D09"/>
    <w:rsid w:val="00AF0FE0"/>
    <w:rsid w:val="00AF108B"/>
    <w:rsid w:val="00AF1169"/>
    <w:rsid w:val="00AF146E"/>
    <w:rsid w:val="00AF189F"/>
    <w:rsid w:val="00AF1922"/>
    <w:rsid w:val="00AF1A53"/>
    <w:rsid w:val="00AF1E56"/>
    <w:rsid w:val="00AF208D"/>
    <w:rsid w:val="00AF2EAE"/>
    <w:rsid w:val="00AF3A48"/>
    <w:rsid w:val="00AF4128"/>
    <w:rsid w:val="00AF41C7"/>
    <w:rsid w:val="00AF5347"/>
    <w:rsid w:val="00AF53F1"/>
    <w:rsid w:val="00AF5EE8"/>
    <w:rsid w:val="00AF662A"/>
    <w:rsid w:val="00AF6F8B"/>
    <w:rsid w:val="00AF7641"/>
    <w:rsid w:val="00AF781D"/>
    <w:rsid w:val="00AF782F"/>
    <w:rsid w:val="00AF7A4F"/>
    <w:rsid w:val="00B00E24"/>
    <w:rsid w:val="00B00EE4"/>
    <w:rsid w:val="00B0109C"/>
    <w:rsid w:val="00B0112B"/>
    <w:rsid w:val="00B01254"/>
    <w:rsid w:val="00B0192F"/>
    <w:rsid w:val="00B01EE0"/>
    <w:rsid w:val="00B0225A"/>
    <w:rsid w:val="00B02BD5"/>
    <w:rsid w:val="00B0345D"/>
    <w:rsid w:val="00B03C08"/>
    <w:rsid w:val="00B03E5C"/>
    <w:rsid w:val="00B04AE3"/>
    <w:rsid w:val="00B04CBF"/>
    <w:rsid w:val="00B052EA"/>
    <w:rsid w:val="00B060E4"/>
    <w:rsid w:val="00B06578"/>
    <w:rsid w:val="00B069BB"/>
    <w:rsid w:val="00B070C7"/>
    <w:rsid w:val="00B0745D"/>
    <w:rsid w:val="00B078E2"/>
    <w:rsid w:val="00B07B41"/>
    <w:rsid w:val="00B101A7"/>
    <w:rsid w:val="00B1077D"/>
    <w:rsid w:val="00B10E96"/>
    <w:rsid w:val="00B10EF5"/>
    <w:rsid w:val="00B11D52"/>
    <w:rsid w:val="00B1242F"/>
    <w:rsid w:val="00B12D9C"/>
    <w:rsid w:val="00B13219"/>
    <w:rsid w:val="00B13277"/>
    <w:rsid w:val="00B135E4"/>
    <w:rsid w:val="00B147AB"/>
    <w:rsid w:val="00B151B8"/>
    <w:rsid w:val="00B153FD"/>
    <w:rsid w:val="00B16183"/>
    <w:rsid w:val="00B16B54"/>
    <w:rsid w:val="00B17293"/>
    <w:rsid w:val="00B1765C"/>
    <w:rsid w:val="00B1765D"/>
    <w:rsid w:val="00B177AF"/>
    <w:rsid w:val="00B17F84"/>
    <w:rsid w:val="00B206A6"/>
    <w:rsid w:val="00B209F9"/>
    <w:rsid w:val="00B20B49"/>
    <w:rsid w:val="00B21125"/>
    <w:rsid w:val="00B21595"/>
    <w:rsid w:val="00B21905"/>
    <w:rsid w:val="00B22265"/>
    <w:rsid w:val="00B227C5"/>
    <w:rsid w:val="00B22EBC"/>
    <w:rsid w:val="00B23315"/>
    <w:rsid w:val="00B2331F"/>
    <w:rsid w:val="00B2341E"/>
    <w:rsid w:val="00B23512"/>
    <w:rsid w:val="00B2407C"/>
    <w:rsid w:val="00B2468B"/>
    <w:rsid w:val="00B24CEB"/>
    <w:rsid w:val="00B24E8E"/>
    <w:rsid w:val="00B2541E"/>
    <w:rsid w:val="00B256A2"/>
    <w:rsid w:val="00B25725"/>
    <w:rsid w:val="00B26205"/>
    <w:rsid w:val="00B26590"/>
    <w:rsid w:val="00B265DF"/>
    <w:rsid w:val="00B26BF7"/>
    <w:rsid w:val="00B26E1C"/>
    <w:rsid w:val="00B272CD"/>
    <w:rsid w:val="00B27A07"/>
    <w:rsid w:val="00B30463"/>
    <w:rsid w:val="00B30961"/>
    <w:rsid w:val="00B309A6"/>
    <w:rsid w:val="00B31068"/>
    <w:rsid w:val="00B3124E"/>
    <w:rsid w:val="00B316DD"/>
    <w:rsid w:val="00B32864"/>
    <w:rsid w:val="00B3320A"/>
    <w:rsid w:val="00B33F00"/>
    <w:rsid w:val="00B34C21"/>
    <w:rsid w:val="00B36137"/>
    <w:rsid w:val="00B3640E"/>
    <w:rsid w:val="00B365F5"/>
    <w:rsid w:val="00B37401"/>
    <w:rsid w:val="00B37547"/>
    <w:rsid w:val="00B407D9"/>
    <w:rsid w:val="00B40BD5"/>
    <w:rsid w:val="00B414EA"/>
    <w:rsid w:val="00B41E55"/>
    <w:rsid w:val="00B42E83"/>
    <w:rsid w:val="00B42EBA"/>
    <w:rsid w:val="00B4302B"/>
    <w:rsid w:val="00B436E7"/>
    <w:rsid w:val="00B44008"/>
    <w:rsid w:val="00B440EF"/>
    <w:rsid w:val="00B443A4"/>
    <w:rsid w:val="00B44E3A"/>
    <w:rsid w:val="00B458A7"/>
    <w:rsid w:val="00B463AC"/>
    <w:rsid w:val="00B46E6A"/>
    <w:rsid w:val="00B476EC"/>
    <w:rsid w:val="00B4771A"/>
    <w:rsid w:val="00B47E42"/>
    <w:rsid w:val="00B50044"/>
    <w:rsid w:val="00B50AB2"/>
    <w:rsid w:val="00B51D81"/>
    <w:rsid w:val="00B5235D"/>
    <w:rsid w:val="00B523D4"/>
    <w:rsid w:val="00B52641"/>
    <w:rsid w:val="00B526EB"/>
    <w:rsid w:val="00B5296E"/>
    <w:rsid w:val="00B52B86"/>
    <w:rsid w:val="00B52CAD"/>
    <w:rsid w:val="00B52E9C"/>
    <w:rsid w:val="00B532BF"/>
    <w:rsid w:val="00B536D8"/>
    <w:rsid w:val="00B5371E"/>
    <w:rsid w:val="00B53FF4"/>
    <w:rsid w:val="00B549F0"/>
    <w:rsid w:val="00B552F5"/>
    <w:rsid w:val="00B556D7"/>
    <w:rsid w:val="00B55720"/>
    <w:rsid w:val="00B56319"/>
    <w:rsid w:val="00B567E8"/>
    <w:rsid w:val="00B56B56"/>
    <w:rsid w:val="00B576CB"/>
    <w:rsid w:val="00B57703"/>
    <w:rsid w:val="00B6163B"/>
    <w:rsid w:val="00B61DB4"/>
    <w:rsid w:val="00B620D9"/>
    <w:rsid w:val="00B62548"/>
    <w:rsid w:val="00B62685"/>
    <w:rsid w:val="00B6388F"/>
    <w:rsid w:val="00B639D0"/>
    <w:rsid w:val="00B64A37"/>
    <w:rsid w:val="00B64EF0"/>
    <w:rsid w:val="00B65E17"/>
    <w:rsid w:val="00B6631B"/>
    <w:rsid w:val="00B66581"/>
    <w:rsid w:val="00B6727A"/>
    <w:rsid w:val="00B67692"/>
    <w:rsid w:val="00B7019B"/>
    <w:rsid w:val="00B705FF"/>
    <w:rsid w:val="00B711C3"/>
    <w:rsid w:val="00B71965"/>
    <w:rsid w:val="00B71E9F"/>
    <w:rsid w:val="00B722FA"/>
    <w:rsid w:val="00B72C6B"/>
    <w:rsid w:val="00B734B6"/>
    <w:rsid w:val="00B739BA"/>
    <w:rsid w:val="00B73D0F"/>
    <w:rsid w:val="00B73D6F"/>
    <w:rsid w:val="00B74D82"/>
    <w:rsid w:val="00B74EF9"/>
    <w:rsid w:val="00B76019"/>
    <w:rsid w:val="00B7658B"/>
    <w:rsid w:val="00B768AA"/>
    <w:rsid w:val="00B76F93"/>
    <w:rsid w:val="00B771AD"/>
    <w:rsid w:val="00B77B59"/>
    <w:rsid w:val="00B77EFD"/>
    <w:rsid w:val="00B803C5"/>
    <w:rsid w:val="00B80838"/>
    <w:rsid w:val="00B80EC3"/>
    <w:rsid w:val="00B811C7"/>
    <w:rsid w:val="00B81607"/>
    <w:rsid w:val="00B81A25"/>
    <w:rsid w:val="00B81E87"/>
    <w:rsid w:val="00B82142"/>
    <w:rsid w:val="00B82529"/>
    <w:rsid w:val="00B8312B"/>
    <w:rsid w:val="00B837D6"/>
    <w:rsid w:val="00B839C6"/>
    <w:rsid w:val="00B83B59"/>
    <w:rsid w:val="00B83CB4"/>
    <w:rsid w:val="00B8441B"/>
    <w:rsid w:val="00B84527"/>
    <w:rsid w:val="00B84A10"/>
    <w:rsid w:val="00B85AAF"/>
    <w:rsid w:val="00B85BA1"/>
    <w:rsid w:val="00B86CFD"/>
    <w:rsid w:val="00B86D81"/>
    <w:rsid w:val="00B87065"/>
    <w:rsid w:val="00B87A6C"/>
    <w:rsid w:val="00B908C5"/>
    <w:rsid w:val="00B90CB0"/>
    <w:rsid w:val="00B921F6"/>
    <w:rsid w:val="00B92611"/>
    <w:rsid w:val="00B92F2E"/>
    <w:rsid w:val="00B92F71"/>
    <w:rsid w:val="00B93270"/>
    <w:rsid w:val="00B94361"/>
    <w:rsid w:val="00B946BA"/>
    <w:rsid w:val="00B9490F"/>
    <w:rsid w:val="00B95042"/>
    <w:rsid w:val="00B9529E"/>
    <w:rsid w:val="00B953CF"/>
    <w:rsid w:val="00B961DE"/>
    <w:rsid w:val="00B96515"/>
    <w:rsid w:val="00B9726E"/>
    <w:rsid w:val="00B9738F"/>
    <w:rsid w:val="00B976EB"/>
    <w:rsid w:val="00B9777F"/>
    <w:rsid w:val="00BA0725"/>
    <w:rsid w:val="00BA07B4"/>
    <w:rsid w:val="00BA0E5F"/>
    <w:rsid w:val="00BA13CD"/>
    <w:rsid w:val="00BA215F"/>
    <w:rsid w:val="00BA2BE1"/>
    <w:rsid w:val="00BA2D32"/>
    <w:rsid w:val="00BA3556"/>
    <w:rsid w:val="00BA385F"/>
    <w:rsid w:val="00BA42F3"/>
    <w:rsid w:val="00BA4803"/>
    <w:rsid w:val="00BA4C7F"/>
    <w:rsid w:val="00BA4F2F"/>
    <w:rsid w:val="00BA5425"/>
    <w:rsid w:val="00BA5A7E"/>
    <w:rsid w:val="00BA713B"/>
    <w:rsid w:val="00BA7A5F"/>
    <w:rsid w:val="00BA7AF5"/>
    <w:rsid w:val="00BB05C1"/>
    <w:rsid w:val="00BB06CD"/>
    <w:rsid w:val="00BB1181"/>
    <w:rsid w:val="00BB1426"/>
    <w:rsid w:val="00BB1431"/>
    <w:rsid w:val="00BB1A4E"/>
    <w:rsid w:val="00BB1BDE"/>
    <w:rsid w:val="00BB2496"/>
    <w:rsid w:val="00BB26B7"/>
    <w:rsid w:val="00BB2A4B"/>
    <w:rsid w:val="00BB2BBA"/>
    <w:rsid w:val="00BB35B0"/>
    <w:rsid w:val="00BB3DDE"/>
    <w:rsid w:val="00BB48E6"/>
    <w:rsid w:val="00BB4BBB"/>
    <w:rsid w:val="00BB4C85"/>
    <w:rsid w:val="00BB5AEA"/>
    <w:rsid w:val="00BB5E10"/>
    <w:rsid w:val="00BB5F56"/>
    <w:rsid w:val="00BB5F96"/>
    <w:rsid w:val="00BB6006"/>
    <w:rsid w:val="00BB65B8"/>
    <w:rsid w:val="00BB6882"/>
    <w:rsid w:val="00BB6BFD"/>
    <w:rsid w:val="00BB6D7E"/>
    <w:rsid w:val="00BB750A"/>
    <w:rsid w:val="00BC0241"/>
    <w:rsid w:val="00BC0B71"/>
    <w:rsid w:val="00BC2272"/>
    <w:rsid w:val="00BC22F7"/>
    <w:rsid w:val="00BC23E0"/>
    <w:rsid w:val="00BC3139"/>
    <w:rsid w:val="00BC3B74"/>
    <w:rsid w:val="00BC3CB3"/>
    <w:rsid w:val="00BC43ED"/>
    <w:rsid w:val="00BC543C"/>
    <w:rsid w:val="00BC57B2"/>
    <w:rsid w:val="00BC5EFE"/>
    <w:rsid w:val="00BC7B6F"/>
    <w:rsid w:val="00BC7CF5"/>
    <w:rsid w:val="00BC7D7C"/>
    <w:rsid w:val="00BD081D"/>
    <w:rsid w:val="00BD0C80"/>
    <w:rsid w:val="00BD0EA6"/>
    <w:rsid w:val="00BD1086"/>
    <w:rsid w:val="00BD1168"/>
    <w:rsid w:val="00BD15A5"/>
    <w:rsid w:val="00BD1765"/>
    <w:rsid w:val="00BD1D40"/>
    <w:rsid w:val="00BD1EF8"/>
    <w:rsid w:val="00BD26A4"/>
    <w:rsid w:val="00BD26DD"/>
    <w:rsid w:val="00BD2B32"/>
    <w:rsid w:val="00BD2B66"/>
    <w:rsid w:val="00BD312F"/>
    <w:rsid w:val="00BD3325"/>
    <w:rsid w:val="00BD336A"/>
    <w:rsid w:val="00BD3804"/>
    <w:rsid w:val="00BD42FD"/>
    <w:rsid w:val="00BD49C9"/>
    <w:rsid w:val="00BD4D56"/>
    <w:rsid w:val="00BD4FF7"/>
    <w:rsid w:val="00BD5BDA"/>
    <w:rsid w:val="00BD5DA4"/>
    <w:rsid w:val="00BD6602"/>
    <w:rsid w:val="00BD6D00"/>
    <w:rsid w:val="00BD6F03"/>
    <w:rsid w:val="00BD74A8"/>
    <w:rsid w:val="00BD7517"/>
    <w:rsid w:val="00BD7DF7"/>
    <w:rsid w:val="00BE0814"/>
    <w:rsid w:val="00BE085B"/>
    <w:rsid w:val="00BE0CCF"/>
    <w:rsid w:val="00BE0D22"/>
    <w:rsid w:val="00BE1637"/>
    <w:rsid w:val="00BE1ED1"/>
    <w:rsid w:val="00BE35B3"/>
    <w:rsid w:val="00BE3D9A"/>
    <w:rsid w:val="00BE3F83"/>
    <w:rsid w:val="00BE52D2"/>
    <w:rsid w:val="00BE535D"/>
    <w:rsid w:val="00BE5740"/>
    <w:rsid w:val="00BE5989"/>
    <w:rsid w:val="00BE5B20"/>
    <w:rsid w:val="00BE6568"/>
    <w:rsid w:val="00BE6D13"/>
    <w:rsid w:val="00BE6D6B"/>
    <w:rsid w:val="00BE7CDB"/>
    <w:rsid w:val="00BF01CB"/>
    <w:rsid w:val="00BF0511"/>
    <w:rsid w:val="00BF0635"/>
    <w:rsid w:val="00BF1187"/>
    <w:rsid w:val="00BF1CD7"/>
    <w:rsid w:val="00BF1EA3"/>
    <w:rsid w:val="00BF1ECE"/>
    <w:rsid w:val="00BF1F13"/>
    <w:rsid w:val="00BF2A1C"/>
    <w:rsid w:val="00BF3090"/>
    <w:rsid w:val="00BF3955"/>
    <w:rsid w:val="00BF3AB1"/>
    <w:rsid w:val="00BF3E79"/>
    <w:rsid w:val="00BF4EA7"/>
    <w:rsid w:val="00BF5BD6"/>
    <w:rsid w:val="00BF5DDF"/>
    <w:rsid w:val="00BF68D0"/>
    <w:rsid w:val="00BF6F1E"/>
    <w:rsid w:val="00BF7071"/>
    <w:rsid w:val="00C00174"/>
    <w:rsid w:val="00C002C0"/>
    <w:rsid w:val="00C0082C"/>
    <w:rsid w:val="00C0107D"/>
    <w:rsid w:val="00C01122"/>
    <w:rsid w:val="00C019A7"/>
    <w:rsid w:val="00C01E3E"/>
    <w:rsid w:val="00C0242E"/>
    <w:rsid w:val="00C0256C"/>
    <w:rsid w:val="00C02F9E"/>
    <w:rsid w:val="00C03C63"/>
    <w:rsid w:val="00C03DD9"/>
    <w:rsid w:val="00C04826"/>
    <w:rsid w:val="00C04AE5"/>
    <w:rsid w:val="00C04FB1"/>
    <w:rsid w:val="00C0545B"/>
    <w:rsid w:val="00C059C1"/>
    <w:rsid w:val="00C06930"/>
    <w:rsid w:val="00C06BF6"/>
    <w:rsid w:val="00C07911"/>
    <w:rsid w:val="00C07B9F"/>
    <w:rsid w:val="00C1005F"/>
    <w:rsid w:val="00C10075"/>
    <w:rsid w:val="00C1025D"/>
    <w:rsid w:val="00C11E42"/>
    <w:rsid w:val="00C11F79"/>
    <w:rsid w:val="00C123E6"/>
    <w:rsid w:val="00C12A8F"/>
    <w:rsid w:val="00C130E8"/>
    <w:rsid w:val="00C132D7"/>
    <w:rsid w:val="00C137EB"/>
    <w:rsid w:val="00C13821"/>
    <w:rsid w:val="00C147DD"/>
    <w:rsid w:val="00C15199"/>
    <w:rsid w:val="00C15884"/>
    <w:rsid w:val="00C15B81"/>
    <w:rsid w:val="00C163DF"/>
    <w:rsid w:val="00C17484"/>
    <w:rsid w:val="00C1761D"/>
    <w:rsid w:val="00C17888"/>
    <w:rsid w:val="00C17C9E"/>
    <w:rsid w:val="00C20901"/>
    <w:rsid w:val="00C20C8D"/>
    <w:rsid w:val="00C21965"/>
    <w:rsid w:val="00C21EE2"/>
    <w:rsid w:val="00C230A3"/>
    <w:rsid w:val="00C233F6"/>
    <w:rsid w:val="00C23D84"/>
    <w:rsid w:val="00C24307"/>
    <w:rsid w:val="00C2469B"/>
    <w:rsid w:val="00C24705"/>
    <w:rsid w:val="00C248BF"/>
    <w:rsid w:val="00C24979"/>
    <w:rsid w:val="00C25243"/>
    <w:rsid w:val="00C25341"/>
    <w:rsid w:val="00C2596E"/>
    <w:rsid w:val="00C25A84"/>
    <w:rsid w:val="00C25CD5"/>
    <w:rsid w:val="00C25F8A"/>
    <w:rsid w:val="00C260DD"/>
    <w:rsid w:val="00C266CC"/>
    <w:rsid w:val="00C26C32"/>
    <w:rsid w:val="00C27219"/>
    <w:rsid w:val="00C279A6"/>
    <w:rsid w:val="00C301E1"/>
    <w:rsid w:val="00C30542"/>
    <w:rsid w:val="00C30A82"/>
    <w:rsid w:val="00C30AFC"/>
    <w:rsid w:val="00C30F59"/>
    <w:rsid w:val="00C30F67"/>
    <w:rsid w:val="00C3124A"/>
    <w:rsid w:val="00C3184A"/>
    <w:rsid w:val="00C31AFF"/>
    <w:rsid w:val="00C32199"/>
    <w:rsid w:val="00C32E78"/>
    <w:rsid w:val="00C331AC"/>
    <w:rsid w:val="00C3341A"/>
    <w:rsid w:val="00C338C4"/>
    <w:rsid w:val="00C33D42"/>
    <w:rsid w:val="00C33E3D"/>
    <w:rsid w:val="00C34C50"/>
    <w:rsid w:val="00C34DB4"/>
    <w:rsid w:val="00C356E4"/>
    <w:rsid w:val="00C35E6D"/>
    <w:rsid w:val="00C35E83"/>
    <w:rsid w:val="00C35F87"/>
    <w:rsid w:val="00C36A76"/>
    <w:rsid w:val="00C36A99"/>
    <w:rsid w:val="00C36D6A"/>
    <w:rsid w:val="00C37034"/>
    <w:rsid w:val="00C37A10"/>
    <w:rsid w:val="00C37F08"/>
    <w:rsid w:val="00C40823"/>
    <w:rsid w:val="00C41308"/>
    <w:rsid w:val="00C41509"/>
    <w:rsid w:val="00C41F89"/>
    <w:rsid w:val="00C423DA"/>
    <w:rsid w:val="00C426E8"/>
    <w:rsid w:val="00C42830"/>
    <w:rsid w:val="00C430CC"/>
    <w:rsid w:val="00C433A3"/>
    <w:rsid w:val="00C43468"/>
    <w:rsid w:val="00C43849"/>
    <w:rsid w:val="00C43EB7"/>
    <w:rsid w:val="00C447A3"/>
    <w:rsid w:val="00C44C21"/>
    <w:rsid w:val="00C44DC8"/>
    <w:rsid w:val="00C44EEE"/>
    <w:rsid w:val="00C4511B"/>
    <w:rsid w:val="00C45C3D"/>
    <w:rsid w:val="00C45D00"/>
    <w:rsid w:val="00C4604F"/>
    <w:rsid w:val="00C47360"/>
    <w:rsid w:val="00C47FA3"/>
    <w:rsid w:val="00C50229"/>
    <w:rsid w:val="00C5210E"/>
    <w:rsid w:val="00C52361"/>
    <w:rsid w:val="00C527CF"/>
    <w:rsid w:val="00C52E2A"/>
    <w:rsid w:val="00C52E2C"/>
    <w:rsid w:val="00C53167"/>
    <w:rsid w:val="00C53B4E"/>
    <w:rsid w:val="00C54694"/>
    <w:rsid w:val="00C54872"/>
    <w:rsid w:val="00C5529E"/>
    <w:rsid w:val="00C558E1"/>
    <w:rsid w:val="00C56017"/>
    <w:rsid w:val="00C563A8"/>
    <w:rsid w:val="00C567B8"/>
    <w:rsid w:val="00C57782"/>
    <w:rsid w:val="00C57A2F"/>
    <w:rsid w:val="00C57EE1"/>
    <w:rsid w:val="00C60B45"/>
    <w:rsid w:val="00C60FB8"/>
    <w:rsid w:val="00C61C2F"/>
    <w:rsid w:val="00C61D17"/>
    <w:rsid w:val="00C6202E"/>
    <w:rsid w:val="00C62314"/>
    <w:rsid w:val="00C6287D"/>
    <w:rsid w:val="00C628E9"/>
    <w:rsid w:val="00C62DE6"/>
    <w:rsid w:val="00C63B65"/>
    <w:rsid w:val="00C6454A"/>
    <w:rsid w:val="00C6504B"/>
    <w:rsid w:val="00C65958"/>
    <w:rsid w:val="00C65A52"/>
    <w:rsid w:val="00C65F62"/>
    <w:rsid w:val="00C66567"/>
    <w:rsid w:val="00C6681D"/>
    <w:rsid w:val="00C66A7D"/>
    <w:rsid w:val="00C66C76"/>
    <w:rsid w:val="00C66E11"/>
    <w:rsid w:val="00C71650"/>
    <w:rsid w:val="00C71BD3"/>
    <w:rsid w:val="00C7393E"/>
    <w:rsid w:val="00C7394B"/>
    <w:rsid w:val="00C73AD4"/>
    <w:rsid w:val="00C756EF"/>
    <w:rsid w:val="00C763D9"/>
    <w:rsid w:val="00C773DF"/>
    <w:rsid w:val="00C800AB"/>
    <w:rsid w:val="00C802F8"/>
    <w:rsid w:val="00C80641"/>
    <w:rsid w:val="00C81662"/>
    <w:rsid w:val="00C817E3"/>
    <w:rsid w:val="00C82A1F"/>
    <w:rsid w:val="00C82A80"/>
    <w:rsid w:val="00C83F7A"/>
    <w:rsid w:val="00C84D89"/>
    <w:rsid w:val="00C84F87"/>
    <w:rsid w:val="00C8527A"/>
    <w:rsid w:val="00C8592C"/>
    <w:rsid w:val="00C86732"/>
    <w:rsid w:val="00C8799C"/>
    <w:rsid w:val="00C9099C"/>
    <w:rsid w:val="00C90E32"/>
    <w:rsid w:val="00C915A0"/>
    <w:rsid w:val="00C9180E"/>
    <w:rsid w:val="00C91DB0"/>
    <w:rsid w:val="00C92471"/>
    <w:rsid w:val="00C924C3"/>
    <w:rsid w:val="00C92606"/>
    <w:rsid w:val="00C929D3"/>
    <w:rsid w:val="00C92CF8"/>
    <w:rsid w:val="00C9340E"/>
    <w:rsid w:val="00C9392F"/>
    <w:rsid w:val="00C939E6"/>
    <w:rsid w:val="00C95DBF"/>
    <w:rsid w:val="00C95EDE"/>
    <w:rsid w:val="00C97F18"/>
    <w:rsid w:val="00CA0665"/>
    <w:rsid w:val="00CA08C6"/>
    <w:rsid w:val="00CA1728"/>
    <w:rsid w:val="00CA1892"/>
    <w:rsid w:val="00CA22E1"/>
    <w:rsid w:val="00CA28A3"/>
    <w:rsid w:val="00CA2E73"/>
    <w:rsid w:val="00CA3028"/>
    <w:rsid w:val="00CA3885"/>
    <w:rsid w:val="00CA4349"/>
    <w:rsid w:val="00CA452F"/>
    <w:rsid w:val="00CA4A88"/>
    <w:rsid w:val="00CA50BB"/>
    <w:rsid w:val="00CA5214"/>
    <w:rsid w:val="00CA571D"/>
    <w:rsid w:val="00CA5C6A"/>
    <w:rsid w:val="00CA6134"/>
    <w:rsid w:val="00CA64B3"/>
    <w:rsid w:val="00CA672F"/>
    <w:rsid w:val="00CA6A72"/>
    <w:rsid w:val="00CA6B10"/>
    <w:rsid w:val="00CA7350"/>
    <w:rsid w:val="00CA7C8C"/>
    <w:rsid w:val="00CA7D97"/>
    <w:rsid w:val="00CB0994"/>
    <w:rsid w:val="00CB1370"/>
    <w:rsid w:val="00CB145A"/>
    <w:rsid w:val="00CB2714"/>
    <w:rsid w:val="00CB28F1"/>
    <w:rsid w:val="00CB2D12"/>
    <w:rsid w:val="00CB2D90"/>
    <w:rsid w:val="00CB35F5"/>
    <w:rsid w:val="00CB4692"/>
    <w:rsid w:val="00CB4C8F"/>
    <w:rsid w:val="00CB4CA1"/>
    <w:rsid w:val="00CB5A54"/>
    <w:rsid w:val="00CB5BD1"/>
    <w:rsid w:val="00CB6CB5"/>
    <w:rsid w:val="00CB7A18"/>
    <w:rsid w:val="00CB7AED"/>
    <w:rsid w:val="00CB7DD6"/>
    <w:rsid w:val="00CC01CD"/>
    <w:rsid w:val="00CC01EC"/>
    <w:rsid w:val="00CC0C4E"/>
    <w:rsid w:val="00CC1C93"/>
    <w:rsid w:val="00CC1F55"/>
    <w:rsid w:val="00CC2338"/>
    <w:rsid w:val="00CC2398"/>
    <w:rsid w:val="00CC2640"/>
    <w:rsid w:val="00CC28C4"/>
    <w:rsid w:val="00CC4C28"/>
    <w:rsid w:val="00CC5361"/>
    <w:rsid w:val="00CC55E5"/>
    <w:rsid w:val="00CC5995"/>
    <w:rsid w:val="00CC6806"/>
    <w:rsid w:val="00CC6EF5"/>
    <w:rsid w:val="00CD02F3"/>
    <w:rsid w:val="00CD0AF9"/>
    <w:rsid w:val="00CD1234"/>
    <w:rsid w:val="00CD1C27"/>
    <w:rsid w:val="00CD2A64"/>
    <w:rsid w:val="00CD2E80"/>
    <w:rsid w:val="00CD36AD"/>
    <w:rsid w:val="00CD3A60"/>
    <w:rsid w:val="00CD404B"/>
    <w:rsid w:val="00CD4432"/>
    <w:rsid w:val="00CD4AFF"/>
    <w:rsid w:val="00CD4D86"/>
    <w:rsid w:val="00CD5043"/>
    <w:rsid w:val="00CD5902"/>
    <w:rsid w:val="00CD5C93"/>
    <w:rsid w:val="00CD5D40"/>
    <w:rsid w:val="00CD629A"/>
    <w:rsid w:val="00CD6C91"/>
    <w:rsid w:val="00CD6F73"/>
    <w:rsid w:val="00CE06E7"/>
    <w:rsid w:val="00CE18A8"/>
    <w:rsid w:val="00CE18D6"/>
    <w:rsid w:val="00CE1F01"/>
    <w:rsid w:val="00CE1FA2"/>
    <w:rsid w:val="00CE2335"/>
    <w:rsid w:val="00CE2E81"/>
    <w:rsid w:val="00CE41A1"/>
    <w:rsid w:val="00CE4B04"/>
    <w:rsid w:val="00CE52CD"/>
    <w:rsid w:val="00CE555C"/>
    <w:rsid w:val="00CE62F4"/>
    <w:rsid w:val="00CE6AF1"/>
    <w:rsid w:val="00CE6C88"/>
    <w:rsid w:val="00CE6CEA"/>
    <w:rsid w:val="00CE6D99"/>
    <w:rsid w:val="00CE70F1"/>
    <w:rsid w:val="00CE7702"/>
    <w:rsid w:val="00CE7EC0"/>
    <w:rsid w:val="00CF00DF"/>
    <w:rsid w:val="00CF07B0"/>
    <w:rsid w:val="00CF11C6"/>
    <w:rsid w:val="00CF1BB2"/>
    <w:rsid w:val="00CF2606"/>
    <w:rsid w:val="00CF2AF3"/>
    <w:rsid w:val="00CF2E53"/>
    <w:rsid w:val="00CF3AD7"/>
    <w:rsid w:val="00CF3EE8"/>
    <w:rsid w:val="00CF3F45"/>
    <w:rsid w:val="00CF40AF"/>
    <w:rsid w:val="00CF472F"/>
    <w:rsid w:val="00CF53A4"/>
    <w:rsid w:val="00CF58AB"/>
    <w:rsid w:val="00CF6C72"/>
    <w:rsid w:val="00CF6FFD"/>
    <w:rsid w:val="00CF799F"/>
    <w:rsid w:val="00CF7CB7"/>
    <w:rsid w:val="00D000EC"/>
    <w:rsid w:val="00D001F7"/>
    <w:rsid w:val="00D00326"/>
    <w:rsid w:val="00D00AE7"/>
    <w:rsid w:val="00D025E8"/>
    <w:rsid w:val="00D0290E"/>
    <w:rsid w:val="00D02D63"/>
    <w:rsid w:val="00D02E90"/>
    <w:rsid w:val="00D03597"/>
    <w:rsid w:val="00D03C45"/>
    <w:rsid w:val="00D04031"/>
    <w:rsid w:val="00D04065"/>
    <w:rsid w:val="00D04331"/>
    <w:rsid w:val="00D045B7"/>
    <w:rsid w:val="00D048F5"/>
    <w:rsid w:val="00D04BDF"/>
    <w:rsid w:val="00D0510C"/>
    <w:rsid w:val="00D05252"/>
    <w:rsid w:val="00D06697"/>
    <w:rsid w:val="00D06A0E"/>
    <w:rsid w:val="00D07035"/>
    <w:rsid w:val="00D0764B"/>
    <w:rsid w:val="00D07A68"/>
    <w:rsid w:val="00D07B11"/>
    <w:rsid w:val="00D100A2"/>
    <w:rsid w:val="00D10ED8"/>
    <w:rsid w:val="00D11163"/>
    <w:rsid w:val="00D11B1D"/>
    <w:rsid w:val="00D13027"/>
    <w:rsid w:val="00D139EC"/>
    <w:rsid w:val="00D14D30"/>
    <w:rsid w:val="00D1603C"/>
    <w:rsid w:val="00D16248"/>
    <w:rsid w:val="00D16628"/>
    <w:rsid w:val="00D167D0"/>
    <w:rsid w:val="00D16F17"/>
    <w:rsid w:val="00D17BEC"/>
    <w:rsid w:val="00D17D01"/>
    <w:rsid w:val="00D202B5"/>
    <w:rsid w:val="00D20611"/>
    <w:rsid w:val="00D20721"/>
    <w:rsid w:val="00D20A25"/>
    <w:rsid w:val="00D21779"/>
    <w:rsid w:val="00D21D83"/>
    <w:rsid w:val="00D21EA6"/>
    <w:rsid w:val="00D21EE8"/>
    <w:rsid w:val="00D222FF"/>
    <w:rsid w:val="00D2259F"/>
    <w:rsid w:val="00D228F7"/>
    <w:rsid w:val="00D2296E"/>
    <w:rsid w:val="00D22C98"/>
    <w:rsid w:val="00D22E9D"/>
    <w:rsid w:val="00D23530"/>
    <w:rsid w:val="00D2405E"/>
    <w:rsid w:val="00D24D19"/>
    <w:rsid w:val="00D24F88"/>
    <w:rsid w:val="00D26604"/>
    <w:rsid w:val="00D26707"/>
    <w:rsid w:val="00D26F4C"/>
    <w:rsid w:val="00D27034"/>
    <w:rsid w:val="00D27066"/>
    <w:rsid w:val="00D27D2E"/>
    <w:rsid w:val="00D3062C"/>
    <w:rsid w:val="00D30FF0"/>
    <w:rsid w:val="00D315D2"/>
    <w:rsid w:val="00D32460"/>
    <w:rsid w:val="00D32B1B"/>
    <w:rsid w:val="00D32F67"/>
    <w:rsid w:val="00D331C8"/>
    <w:rsid w:val="00D332C1"/>
    <w:rsid w:val="00D339BE"/>
    <w:rsid w:val="00D34260"/>
    <w:rsid w:val="00D34566"/>
    <w:rsid w:val="00D34837"/>
    <w:rsid w:val="00D3535B"/>
    <w:rsid w:val="00D36B79"/>
    <w:rsid w:val="00D370B1"/>
    <w:rsid w:val="00D37B25"/>
    <w:rsid w:val="00D415E3"/>
    <w:rsid w:val="00D424A0"/>
    <w:rsid w:val="00D4251F"/>
    <w:rsid w:val="00D42A41"/>
    <w:rsid w:val="00D42D92"/>
    <w:rsid w:val="00D4451D"/>
    <w:rsid w:val="00D46A30"/>
    <w:rsid w:val="00D46AF4"/>
    <w:rsid w:val="00D47087"/>
    <w:rsid w:val="00D47225"/>
    <w:rsid w:val="00D472AB"/>
    <w:rsid w:val="00D472BC"/>
    <w:rsid w:val="00D4777C"/>
    <w:rsid w:val="00D47B0D"/>
    <w:rsid w:val="00D47E2B"/>
    <w:rsid w:val="00D5043D"/>
    <w:rsid w:val="00D50F0C"/>
    <w:rsid w:val="00D51456"/>
    <w:rsid w:val="00D51527"/>
    <w:rsid w:val="00D5160A"/>
    <w:rsid w:val="00D5191F"/>
    <w:rsid w:val="00D53313"/>
    <w:rsid w:val="00D53C22"/>
    <w:rsid w:val="00D53C34"/>
    <w:rsid w:val="00D54797"/>
    <w:rsid w:val="00D550AD"/>
    <w:rsid w:val="00D554B1"/>
    <w:rsid w:val="00D55789"/>
    <w:rsid w:val="00D56495"/>
    <w:rsid w:val="00D571AD"/>
    <w:rsid w:val="00D572E6"/>
    <w:rsid w:val="00D5775D"/>
    <w:rsid w:val="00D602AD"/>
    <w:rsid w:val="00D603AB"/>
    <w:rsid w:val="00D6047A"/>
    <w:rsid w:val="00D60C43"/>
    <w:rsid w:val="00D61099"/>
    <w:rsid w:val="00D61442"/>
    <w:rsid w:val="00D61B05"/>
    <w:rsid w:val="00D62AE0"/>
    <w:rsid w:val="00D63367"/>
    <w:rsid w:val="00D634A8"/>
    <w:rsid w:val="00D63712"/>
    <w:rsid w:val="00D63E7F"/>
    <w:rsid w:val="00D64582"/>
    <w:rsid w:val="00D649A3"/>
    <w:rsid w:val="00D64D0E"/>
    <w:rsid w:val="00D64E87"/>
    <w:rsid w:val="00D653B8"/>
    <w:rsid w:val="00D65589"/>
    <w:rsid w:val="00D658CB"/>
    <w:rsid w:val="00D6648D"/>
    <w:rsid w:val="00D667E7"/>
    <w:rsid w:val="00D67130"/>
    <w:rsid w:val="00D701D0"/>
    <w:rsid w:val="00D702FA"/>
    <w:rsid w:val="00D70372"/>
    <w:rsid w:val="00D71862"/>
    <w:rsid w:val="00D7207A"/>
    <w:rsid w:val="00D726C8"/>
    <w:rsid w:val="00D72B2C"/>
    <w:rsid w:val="00D731FD"/>
    <w:rsid w:val="00D734DD"/>
    <w:rsid w:val="00D735D7"/>
    <w:rsid w:val="00D73D5C"/>
    <w:rsid w:val="00D747D8"/>
    <w:rsid w:val="00D748E5"/>
    <w:rsid w:val="00D74D38"/>
    <w:rsid w:val="00D754C7"/>
    <w:rsid w:val="00D754DC"/>
    <w:rsid w:val="00D755A0"/>
    <w:rsid w:val="00D75A96"/>
    <w:rsid w:val="00D763BA"/>
    <w:rsid w:val="00D77105"/>
    <w:rsid w:val="00D800FF"/>
    <w:rsid w:val="00D80A1C"/>
    <w:rsid w:val="00D80D97"/>
    <w:rsid w:val="00D8112F"/>
    <w:rsid w:val="00D81D53"/>
    <w:rsid w:val="00D81E5E"/>
    <w:rsid w:val="00D81EE8"/>
    <w:rsid w:val="00D827A5"/>
    <w:rsid w:val="00D82A76"/>
    <w:rsid w:val="00D82BBF"/>
    <w:rsid w:val="00D82C77"/>
    <w:rsid w:val="00D82D86"/>
    <w:rsid w:val="00D837F7"/>
    <w:rsid w:val="00D8395A"/>
    <w:rsid w:val="00D845F0"/>
    <w:rsid w:val="00D84623"/>
    <w:rsid w:val="00D84D90"/>
    <w:rsid w:val="00D851F6"/>
    <w:rsid w:val="00D858BA"/>
    <w:rsid w:val="00D85A18"/>
    <w:rsid w:val="00D861AA"/>
    <w:rsid w:val="00D86293"/>
    <w:rsid w:val="00D86CA7"/>
    <w:rsid w:val="00D87859"/>
    <w:rsid w:val="00D8786D"/>
    <w:rsid w:val="00D87D82"/>
    <w:rsid w:val="00D87F46"/>
    <w:rsid w:val="00D903E4"/>
    <w:rsid w:val="00D91E5D"/>
    <w:rsid w:val="00D9233F"/>
    <w:rsid w:val="00D9264C"/>
    <w:rsid w:val="00D929CD"/>
    <w:rsid w:val="00D92B08"/>
    <w:rsid w:val="00D934D9"/>
    <w:rsid w:val="00D93B1C"/>
    <w:rsid w:val="00D93E15"/>
    <w:rsid w:val="00D94066"/>
    <w:rsid w:val="00D951F8"/>
    <w:rsid w:val="00D95258"/>
    <w:rsid w:val="00D95BA1"/>
    <w:rsid w:val="00D9662C"/>
    <w:rsid w:val="00D9667D"/>
    <w:rsid w:val="00D96AD8"/>
    <w:rsid w:val="00D96C24"/>
    <w:rsid w:val="00D96F1E"/>
    <w:rsid w:val="00D9738B"/>
    <w:rsid w:val="00D97620"/>
    <w:rsid w:val="00D97A5A"/>
    <w:rsid w:val="00D97DEE"/>
    <w:rsid w:val="00DA0131"/>
    <w:rsid w:val="00DA0867"/>
    <w:rsid w:val="00DA0A46"/>
    <w:rsid w:val="00DA0FEB"/>
    <w:rsid w:val="00DA121A"/>
    <w:rsid w:val="00DA153D"/>
    <w:rsid w:val="00DA1AA5"/>
    <w:rsid w:val="00DA30BE"/>
    <w:rsid w:val="00DA3A65"/>
    <w:rsid w:val="00DA3F35"/>
    <w:rsid w:val="00DA5452"/>
    <w:rsid w:val="00DA545A"/>
    <w:rsid w:val="00DA58FD"/>
    <w:rsid w:val="00DA5A63"/>
    <w:rsid w:val="00DA5AAD"/>
    <w:rsid w:val="00DA67B3"/>
    <w:rsid w:val="00DA67EA"/>
    <w:rsid w:val="00DA6E6A"/>
    <w:rsid w:val="00DB08C6"/>
    <w:rsid w:val="00DB0D1C"/>
    <w:rsid w:val="00DB12AC"/>
    <w:rsid w:val="00DB17E0"/>
    <w:rsid w:val="00DB1A8D"/>
    <w:rsid w:val="00DB1F7D"/>
    <w:rsid w:val="00DB2012"/>
    <w:rsid w:val="00DB2A79"/>
    <w:rsid w:val="00DB2DF4"/>
    <w:rsid w:val="00DB2F89"/>
    <w:rsid w:val="00DB3209"/>
    <w:rsid w:val="00DB3E33"/>
    <w:rsid w:val="00DB445E"/>
    <w:rsid w:val="00DB4A9B"/>
    <w:rsid w:val="00DB4B1C"/>
    <w:rsid w:val="00DB4FE3"/>
    <w:rsid w:val="00DB5132"/>
    <w:rsid w:val="00DB529E"/>
    <w:rsid w:val="00DB5A53"/>
    <w:rsid w:val="00DB6803"/>
    <w:rsid w:val="00DB7532"/>
    <w:rsid w:val="00DC00B1"/>
    <w:rsid w:val="00DC02C9"/>
    <w:rsid w:val="00DC046E"/>
    <w:rsid w:val="00DC16E4"/>
    <w:rsid w:val="00DC1F82"/>
    <w:rsid w:val="00DC38D4"/>
    <w:rsid w:val="00DC4EE2"/>
    <w:rsid w:val="00DC4F63"/>
    <w:rsid w:val="00DC53AB"/>
    <w:rsid w:val="00DC5AD8"/>
    <w:rsid w:val="00DC6034"/>
    <w:rsid w:val="00DC66A2"/>
    <w:rsid w:val="00DC68A2"/>
    <w:rsid w:val="00DC6FF7"/>
    <w:rsid w:val="00DC75EA"/>
    <w:rsid w:val="00DD00EA"/>
    <w:rsid w:val="00DD0250"/>
    <w:rsid w:val="00DD1AFD"/>
    <w:rsid w:val="00DD25D8"/>
    <w:rsid w:val="00DD2A61"/>
    <w:rsid w:val="00DD2D71"/>
    <w:rsid w:val="00DD31F9"/>
    <w:rsid w:val="00DD4B6E"/>
    <w:rsid w:val="00DD4E93"/>
    <w:rsid w:val="00DD5402"/>
    <w:rsid w:val="00DD57D3"/>
    <w:rsid w:val="00DD6DB3"/>
    <w:rsid w:val="00DD6E2C"/>
    <w:rsid w:val="00DD7155"/>
    <w:rsid w:val="00DD7A3C"/>
    <w:rsid w:val="00DD7A3E"/>
    <w:rsid w:val="00DD7AED"/>
    <w:rsid w:val="00DD7E20"/>
    <w:rsid w:val="00DE0B0B"/>
    <w:rsid w:val="00DE12B5"/>
    <w:rsid w:val="00DE1811"/>
    <w:rsid w:val="00DE30A8"/>
    <w:rsid w:val="00DE3320"/>
    <w:rsid w:val="00DE397A"/>
    <w:rsid w:val="00DE3A87"/>
    <w:rsid w:val="00DE3F8A"/>
    <w:rsid w:val="00DE4437"/>
    <w:rsid w:val="00DE46A4"/>
    <w:rsid w:val="00DE4BB8"/>
    <w:rsid w:val="00DE4E1C"/>
    <w:rsid w:val="00DE58B8"/>
    <w:rsid w:val="00DE59C5"/>
    <w:rsid w:val="00DE7435"/>
    <w:rsid w:val="00DE7784"/>
    <w:rsid w:val="00DF172E"/>
    <w:rsid w:val="00DF1880"/>
    <w:rsid w:val="00DF190E"/>
    <w:rsid w:val="00DF1C5A"/>
    <w:rsid w:val="00DF2AFC"/>
    <w:rsid w:val="00DF35BA"/>
    <w:rsid w:val="00DF4D58"/>
    <w:rsid w:val="00DF4D7F"/>
    <w:rsid w:val="00DF549F"/>
    <w:rsid w:val="00DF562D"/>
    <w:rsid w:val="00DF569F"/>
    <w:rsid w:val="00DF57FB"/>
    <w:rsid w:val="00DF58B5"/>
    <w:rsid w:val="00DF5AE8"/>
    <w:rsid w:val="00DF5C84"/>
    <w:rsid w:val="00DF6352"/>
    <w:rsid w:val="00DF6585"/>
    <w:rsid w:val="00DF676B"/>
    <w:rsid w:val="00DF69AE"/>
    <w:rsid w:val="00DF6FCB"/>
    <w:rsid w:val="00DF7069"/>
    <w:rsid w:val="00DF7381"/>
    <w:rsid w:val="00DF7986"/>
    <w:rsid w:val="00E00E83"/>
    <w:rsid w:val="00E01366"/>
    <w:rsid w:val="00E01CD5"/>
    <w:rsid w:val="00E01DD6"/>
    <w:rsid w:val="00E01F4D"/>
    <w:rsid w:val="00E020E4"/>
    <w:rsid w:val="00E02137"/>
    <w:rsid w:val="00E03462"/>
    <w:rsid w:val="00E03AEB"/>
    <w:rsid w:val="00E04AC4"/>
    <w:rsid w:val="00E053DC"/>
    <w:rsid w:val="00E06A22"/>
    <w:rsid w:val="00E06CB6"/>
    <w:rsid w:val="00E072BD"/>
    <w:rsid w:val="00E1014A"/>
    <w:rsid w:val="00E106E3"/>
    <w:rsid w:val="00E110B0"/>
    <w:rsid w:val="00E11229"/>
    <w:rsid w:val="00E1158F"/>
    <w:rsid w:val="00E1174B"/>
    <w:rsid w:val="00E11B47"/>
    <w:rsid w:val="00E1225D"/>
    <w:rsid w:val="00E132CE"/>
    <w:rsid w:val="00E13D27"/>
    <w:rsid w:val="00E140F3"/>
    <w:rsid w:val="00E14D3D"/>
    <w:rsid w:val="00E15208"/>
    <w:rsid w:val="00E157F5"/>
    <w:rsid w:val="00E160D0"/>
    <w:rsid w:val="00E16628"/>
    <w:rsid w:val="00E16C6B"/>
    <w:rsid w:val="00E17605"/>
    <w:rsid w:val="00E17F2B"/>
    <w:rsid w:val="00E2019E"/>
    <w:rsid w:val="00E20B28"/>
    <w:rsid w:val="00E20B7F"/>
    <w:rsid w:val="00E2107D"/>
    <w:rsid w:val="00E212EB"/>
    <w:rsid w:val="00E21A82"/>
    <w:rsid w:val="00E21DFC"/>
    <w:rsid w:val="00E2226E"/>
    <w:rsid w:val="00E22BBE"/>
    <w:rsid w:val="00E22BE5"/>
    <w:rsid w:val="00E23902"/>
    <w:rsid w:val="00E23A2B"/>
    <w:rsid w:val="00E24095"/>
    <w:rsid w:val="00E24E2F"/>
    <w:rsid w:val="00E257F0"/>
    <w:rsid w:val="00E25945"/>
    <w:rsid w:val="00E266FC"/>
    <w:rsid w:val="00E27DA4"/>
    <w:rsid w:val="00E30908"/>
    <w:rsid w:val="00E30F37"/>
    <w:rsid w:val="00E3141D"/>
    <w:rsid w:val="00E31814"/>
    <w:rsid w:val="00E31A79"/>
    <w:rsid w:val="00E31F86"/>
    <w:rsid w:val="00E321BA"/>
    <w:rsid w:val="00E321F6"/>
    <w:rsid w:val="00E32A49"/>
    <w:rsid w:val="00E32D05"/>
    <w:rsid w:val="00E34F63"/>
    <w:rsid w:val="00E351E0"/>
    <w:rsid w:val="00E35649"/>
    <w:rsid w:val="00E36583"/>
    <w:rsid w:val="00E37122"/>
    <w:rsid w:val="00E372F2"/>
    <w:rsid w:val="00E3745B"/>
    <w:rsid w:val="00E37629"/>
    <w:rsid w:val="00E37879"/>
    <w:rsid w:val="00E4125D"/>
    <w:rsid w:val="00E4151F"/>
    <w:rsid w:val="00E4166A"/>
    <w:rsid w:val="00E42BB3"/>
    <w:rsid w:val="00E43A60"/>
    <w:rsid w:val="00E43E09"/>
    <w:rsid w:val="00E442F1"/>
    <w:rsid w:val="00E44921"/>
    <w:rsid w:val="00E44988"/>
    <w:rsid w:val="00E44B4D"/>
    <w:rsid w:val="00E44F98"/>
    <w:rsid w:val="00E4505F"/>
    <w:rsid w:val="00E4541E"/>
    <w:rsid w:val="00E45A12"/>
    <w:rsid w:val="00E46305"/>
    <w:rsid w:val="00E46E6D"/>
    <w:rsid w:val="00E47405"/>
    <w:rsid w:val="00E47685"/>
    <w:rsid w:val="00E47CCB"/>
    <w:rsid w:val="00E47EFF"/>
    <w:rsid w:val="00E50768"/>
    <w:rsid w:val="00E51F0F"/>
    <w:rsid w:val="00E535CE"/>
    <w:rsid w:val="00E53679"/>
    <w:rsid w:val="00E539D0"/>
    <w:rsid w:val="00E53F4A"/>
    <w:rsid w:val="00E5423D"/>
    <w:rsid w:val="00E54421"/>
    <w:rsid w:val="00E550A8"/>
    <w:rsid w:val="00E55C6B"/>
    <w:rsid w:val="00E56072"/>
    <w:rsid w:val="00E5667F"/>
    <w:rsid w:val="00E56C8A"/>
    <w:rsid w:val="00E56FAA"/>
    <w:rsid w:val="00E57141"/>
    <w:rsid w:val="00E57FFE"/>
    <w:rsid w:val="00E6002B"/>
    <w:rsid w:val="00E60813"/>
    <w:rsid w:val="00E60DFB"/>
    <w:rsid w:val="00E61255"/>
    <w:rsid w:val="00E616F1"/>
    <w:rsid w:val="00E61D20"/>
    <w:rsid w:val="00E61F27"/>
    <w:rsid w:val="00E62077"/>
    <w:rsid w:val="00E623BA"/>
    <w:rsid w:val="00E62724"/>
    <w:rsid w:val="00E62882"/>
    <w:rsid w:val="00E63267"/>
    <w:rsid w:val="00E636B0"/>
    <w:rsid w:val="00E63917"/>
    <w:rsid w:val="00E63A60"/>
    <w:rsid w:val="00E64418"/>
    <w:rsid w:val="00E649C4"/>
    <w:rsid w:val="00E65022"/>
    <w:rsid w:val="00E65447"/>
    <w:rsid w:val="00E655DF"/>
    <w:rsid w:val="00E65857"/>
    <w:rsid w:val="00E67C87"/>
    <w:rsid w:val="00E67E4F"/>
    <w:rsid w:val="00E708E9"/>
    <w:rsid w:val="00E70981"/>
    <w:rsid w:val="00E70989"/>
    <w:rsid w:val="00E71067"/>
    <w:rsid w:val="00E7109F"/>
    <w:rsid w:val="00E71D27"/>
    <w:rsid w:val="00E72984"/>
    <w:rsid w:val="00E735BC"/>
    <w:rsid w:val="00E7361C"/>
    <w:rsid w:val="00E73964"/>
    <w:rsid w:val="00E73B5D"/>
    <w:rsid w:val="00E73C16"/>
    <w:rsid w:val="00E740F1"/>
    <w:rsid w:val="00E74663"/>
    <w:rsid w:val="00E74765"/>
    <w:rsid w:val="00E7489E"/>
    <w:rsid w:val="00E74F49"/>
    <w:rsid w:val="00E759AB"/>
    <w:rsid w:val="00E75B72"/>
    <w:rsid w:val="00E75D44"/>
    <w:rsid w:val="00E75F25"/>
    <w:rsid w:val="00E76036"/>
    <w:rsid w:val="00E76A3F"/>
    <w:rsid w:val="00E774F9"/>
    <w:rsid w:val="00E77B66"/>
    <w:rsid w:val="00E8037E"/>
    <w:rsid w:val="00E80447"/>
    <w:rsid w:val="00E80627"/>
    <w:rsid w:val="00E80BC0"/>
    <w:rsid w:val="00E811D0"/>
    <w:rsid w:val="00E81531"/>
    <w:rsid w:val="00E81C22"/>
    <w:rsid w:val="00E821CA"/>
    <w:rsid w:val="00E822FC"/>
    <w:rsid w:val="00E82766"/>
    <w:rsid w:val="00E82D0F"/>
    <w:rsid w:val="00E843D4"/>
    <w:rsid w:val="00E84684"/>
    <w:rsid w:val="00E84D1C"/>
    <w:rsid w:val="00E8570C"/>
    <w:rsid w:val="00E85BB4"/>
    <w:rsid w:val="00E85E36"/>
    <w:rsid w:val="00E86185"/>
    <w:rsid w:val="00E8693B"/>
    <w:rsid w:val="00E87403"/>
    <w:rsid w:val="00E877A9"/>
    <w:rsid w:val="00E87953"/>
    <w:rsid w:val="00E87AC1"/>
    <w:rsid w:val="00E87F02"/>
    <w:rsid w:val="00E902E8"/>
    <w:rsid w:val="00E90797"/>
    <w:rsid w:val="00E90ED6"/>
    <w:rsid w:val="00E9126F"/>
    <w:rsid w:val="00E91C31"/>
    <w:rsid w:val="00E9276C"/>
    <w:rsid w:val="00E92CDE"/>
    <w:rsid w:val="00E934D3"/>
    <w:rsid w:val="00E9357A"/>
    <w:rsid w:val="00E9420C"/>
    <w:rsid w:val="00E94897"/>
    <w:rsid w:val="00E94DB0"/>
    <w:rsid w:val="00E94F8E"/>
    <w:rsid w:val="00E951D9"/>
    <w:rsid w:val="00E9531A"/>
    <w:rsid w:val="00E95DF6"/>
    <w:rsid w:val="00E970C8"/>
    <w:rsid w:val="00E9750A"/>
    <w:rsid w:val="00E97613"/>
    <w:rsid w:val="00E97867"/>
    <w:rsid w:val="00E97965"/>
    <w:rsid w:val="00E97A89"/>
    <w:rsid w:val="00E97D36"/>
    <w:rsid w:val="00EA05C8"/>
    <w:rsid w:val="00EA0933"/>
    <w:rsid w:val="00EA12B6"/>
    <w:rsid w:val="00EA12CD"/>
    <w:rsid w:val="00EA18D2"/>
    <w:rsid w:val="00EA1EDA"/>
    <w:rsid w:val="00EA22A2"/>
    <w:rsid w:val="00EA2D7F"/>
    <w:rsid w:val="00EA31E0"/>
    <w:rsid w:val="00EA33DF"/>
    <w:rsid w:val="00EA3A11"/>
    <w:rsid w:val="00EA3EEC"/>
    <w:rsid w:val="00EA463A"/>
    <w:rsid w:val="00EA5235"/>
    <w:rsid w:val="00EA5635"/>
    <w:rsid w:val="00EA6090"/>
    <w:rsid w:val="00EA6FE5"/>
    <w:rsid w:val="00EA743B"/>
    <w:rsid w:val="00EA79DD"/>
    <w:rsid w:val="00EB128E"/>
    <w:rsid w:val="00EB1F82"/>
    <w:rsid w:val="00EB2E20"/>
    <w:rsid w:val="00EB3F2E"/>
    <w:rsid w:val="00EB4599"/>
    <w:rsid w:val="00EB4CB4"/>
    <w:rsid w:val="00EB4CD0"/>
    <w:rsid w:val="00EB5020"/>
    <w:rsid w:val="00EB575F"/>
    <w:rsid w:val="00EB5913"/>
    <w:rsid w:val="00EB59ED"/>
    <w:rsid w:val="00EB5CBD"/>
    <w:rsid w:val="00EB62C8"/>
    <w:rsid w:val="00EB7573"/>
    <w:rsid w:val="00EB7CD1"/>
    <w:rsid w:val="00EB7E2E"/>
    <w:rsid w:val="00EB7FBE"/>
    <w:rsid w:val="00EC0447"/>
    <w:rsid w:val="00EC0848"/>
    <w:rsid w:val="00EC0A24"/>
    <w:rsid w:val="00EC0B12"/>
    <w:rsid w:val="00EC104F"/>
    <w:rsid w:val="00EC19F7"/>
    <w:rsid w:val="00EC2C41"/>
    <w:rsid w:val="00EC2FC5"/>
    <w:rsid w:val="00EC3881"/>
    <w:rsid w:val="00EC4128"/>
    <w:rsid w:val="00EC4831"/>
    <w:rsid w:val="00EC5A35"/>
    <w:rsid w:val="00EC7167"/>
    <w:rsid w:val="00EC71E5"/>
    <w:rsid w:val="00EC75A4"/>
    <w:rsid w:val="00EC77D7"/>
    <w:rsid w:val="00ED0056"/>
    <w:rsid w:val="00ED00B4"/>
    <w:rsid w:val="00ED07AC"/>
    <w:rsid w:val="00ED1342"/>
    <w:rsid w:val="00ED1641"/>
    <w:rsid w:val="00ED1CD2"/>
    <w:rsid w:val="00ED1E39"/>
    <w:rsid w:val="00ED222F"/>
    <w:rsid w:val="00ED25FB"/>
    <w:rsid w:val="00ED2847"/>
    <w:rsid w:val="00ED29D2"/>
    <w:rsid w:val="00ED326C"/>
    <w:rsid w:val="00ED3792"/>
    <w:rsid w:val="00ED3835"/>
    <w:rsid w:val="00ED3A17"/>
    <w:rsid w:val="00ED4179"/>
    <w:rsid w:val="00ED42B7"/>
    <w:rsid w:val="00ED4655"/>
    <w:rsid w:val="00ED513B"/>
    <w:rsid w:val="00ED5220"/>
    <w:rsid w:val="00ED6B71"/>
    <w:rsid w:val="00EE09B0"/>
    <w:rsid w:val="00EE0CB5"/>
    <w:rsid w:val="00EE19E6"/>
    <w:rsid w:val="00EE1B23"/>
    <w:rsid w:val="00EE1B69"/>
    <w:rsid w:val="00EE2003"/>
    <w:rsid w:val="00EE2330"/>
    <w:rsid w:val="00EE2A44"/>
    <w:rsid w:val="00EE303A"/>
    <w:rsid w:val="00EE3EDB"/>
    <w:rsid w:val="00EE4758"/>
    <w:rsid w:val="00EE47D8"/>
    <w:rsid w:val="00EE5708"/>
    <w:rsid w:val="00EE61EC"/>
    <w:rsid w:val="00EE7DEC"/>
    <w:rsid w:val="00EF01D6"/>
    <w:rsid w:val="00EF0502"/>
    <w:rsid w:val="00EF12CB"/>
    <w:rsid w:val="00EF14AB"/>
    <w:rsid w:val="00EF1518"/>
    <w:rsid w:val="00EF1BB4"/>
    <w:rsid w:val="00EF26DF"/>
    <w:rsid w:val="00EF3024"/>
    <w:rsid w:val="00EF4543"/>
    <w:rsid w:val="00EF4A3A"/>
    <w:rsid w:val="00EF4F05"/>
    <w:rsid w:val="00EF5506"/>
    <w:rsid w:val="00EF55E3"/>
    <w:rsid w:val="00EF6691"/>
    <w:rsid w:val="00EF6D1D"/>
    <w:rsid w:val="00EF7495"/>
    <w:rsid w:val="00EF74CC"/>
    <w:rsid w:val="00EF7516"/>
    <w:rsid w:val="00EF7877"/>
    <w:rsid w:val="00F01365"/>
    <w:rsid w:val="00F01660"/>
    <w:rsid w:val="00F01A71"/>
    <w:rsid w:val="00F0255F"/>
    <w:rsid w:val="00F02E52"/>
    <w:rsid w:val="00F0342B"/>
    <w:rsid w:val="00F04170"/>
    <w:rsid w:val="00F041E2"/>
    <w:rsid w:val="00F042F8"/>
    <w:rsid w:val="00F0454D"/>
    <w:rsid w:val="00F04715"/>
    <w:rsid w:val="00F04C07"/>
    <w:rsid w:val="00F04E6F"/>
    <w:rsid w:val="00F05630"/>
    <w:rsid w:val="00F057BF"/>
    <w:rsid w:val="00F058FA"/>
    <w:rsid w:val="00F05AAC"/>
    <w:rsid w:val="00F05FF9"/>
    <w:rsid w:val="00F0633F"/>
    <w:rsid w:val="00F063D4"/>
    <w:rsid w:val="00F0659E"/>
    <w:rsid w:val="00F06F96"/>
    <w:rsid w:val="00F07AB9"/>
    <w:rsid w:val="00F07B4C"/>
    <w:rsid w:val="00F126DC"/>
    <w:rsid w:val="00F12F0A"/>
    <w:rsid w:val="00F1353A"/>
    <w:rsid w:val="00F1375F"/>
    <w:rsid w:val="00F138C2"/>
    <w:rsid w:val="00F139D3"/>
    <w:rsid w:val="00F13AB0"/>
    <w:rsid w:val="00F13C46"/>
    <w:rsid w:val="00F14229"/>
    <w:rsid w:val="00F14768"/>
    <w:rsid w:val="00F147D7"/>
    <w:rsid w:val="00F148B0"/>
    <w:rsid w:val="00F14903"/>
    <w:rsid w:val="00F1496A"/>
    <w:rsid w:val="00F158A7"/>
    <w:rsid w:val="00F15E37"/>
    <w:rsid w:val="00F15F30"/>
    <w:rsid w:val="00F16247"/>
    <w:rsid w:val="00F16922"/>
    <w:rsid w:val="00F16998"/>
    <w:rsid w:val="00F16F2F"/>
    <w:rsid w:val="00F17354"/>
    <w:rsid w:val="00F176D1"/>
    <w:rsid w:val="00F17B71"/>
    <w:rsid w:val="00F17D77"/>
    <w:rsid w:val="00F17E9C"/>
    <w:rsid w:val="00F209FC"/>
    <w:rsid w:val="00F21784"/>
    <w:rsid w:val="00F2225C"/>
    <w:rsid w:val="00F22522"/>
    <w:rsid w:val="00F22B2C"/>
    <w:rsid w:val="00F23B21"/>
    <w:rsid w:val="00F2440F"/>
    <w:rsid w:val="00F24689"/>
    <w:rsid w:val="00F24D50"/>
    <w:rsid w:val="00F25245"/>
    <w:rsid w:val="00F2558B"/>
    <w:rsid w:val="00F25A3E"/>
    <w:rsid w:val="00F262B9"/>
    <w:rsid w:val="00F26C9D"/>
    <w:rsid w:val="00F27414"/>
    <w:rsid w:val="00F2741C"/>
    <w:rsid w:val="00F2782C"/>
    <w:rsid w:val="00F27D19"/>
    <w:rsid w:val="00F305F9"/>
    <w:rsid w:val="00F3091D"/>
    <w:rsid w:val="00F30A4F"/>
    <w:rsid w:val="00F30E20"/>
    <w:rsid w:val="00F319BA"/>
    <w:rsid w:val="00F31E20"/>
    <w:rsid w:val="00F324D2"/>
    <w:rsid w:val="00F327EB"/>
    <w:rsid w:val="00F3282B"/>
    <w:rsid w:val="00F3314E"/>
    <w:rsid w:val="00F33A4B"/>
    <w:rsid w:val="00F33AC6"/>
    <w:rsid w:val="00F33D5C"/>
    <w:rsid w:val="00F341CF"/>
    <w:rsid w:val="00F34E76"/>
    <w:rsid w:val="00F350D1"/>
    <w:rsid w:val="00F355B5"/>
    <w:rsid w:val="00F36856"/>
    <w:rsid w:val="00F36C9E"/>
    <w:rsid w:val="00F3710B"/>
    <w:rsid w:val="00F3771C"/>
    <w:rsid w:val="00F37E5D"/>
    <w:rsid w:val="00F40FD4"/>
    <w:rsid w:val="00F41E25"/>
    <w:rsid w:val="00F41EAB"/>
    <w:rsid w:val="00F424D3"/>
    <w:rsid w:val="00F426E5"/>
    <w:rsid w:val="00F4341B"/>
    <w:rsid w:val="00F436A4"/>
    <w:rsid w:val="00F4454D"/>
    <w:rsid w:val="00F445FE"/>
    <w:rsid w:val="00F44E65"/>
    <w:rsid w:val="00F4528F"/>
    <w:rsid w:val="00F45665"/>
    <w:rsid w:val="00F46894"/>
    <w:rsid w:val="00F46E4A"/>
    <w:rsid w:val="00F46E83"/>
    <w:rsid w:val="00F46FC8"/>
    <w:rsid w:val="00F472B1"/>
    <w:rsid w:val="00F47BAA"/>
    <w:rsid w:val="00F50387"/>
    <w:rsid w:val="00F50BE9"/>
    <w:rsid w:val="00F50E9C"/>
    <w:rsid w:val="00F512D1"/>
    <w:rsid w:val="00F51B9B"/>
    <w:rsid w:val="00F52003"/>
    <w:rsid w:val="00F52392"/>
    <w:rsid w:val="00F527FA"/>
    <w:rsid w:val="00F52904"/>
    <w:rsid w:val="00F53C1E"/>
    <w:rsid w:val="00F53FAE"/>
    <w:rsid w:val="00F53FD8"/>
    <w:rsid w:val="00F543B1"/>
    <w:rsid w:val="00F5448C"/>
    <w:rsid w:val="00F5460F"/>
    <w:rsid w:val="00F546A1"/>
    <w:rsid w:val="00F54D41"/>
    <w:rsid w:val="00F55024"/>
    <w:rsid w:val="00F55525"/>
    <w:rsid w:val="00F5555B"/>
    <w:rsid w:val="00F55D69"/>
    <w:rsid w:val="00F55F93"/>
    <w:rsid w:val="00F563E0"/>
    <w:rsid w:val="00F5672C"/>
    <w:rsid w:val="00F5672D"/>
    <w:rsid w:val="00F56947"/>
    <w:rsid w:val="00F56A88"/>
    <w:rsid w:val="00F574E7"/>
    <w:rsid w:val="00F60E5D"/>
    <w:rsid w:val="00F611D3"/>
    <w:rsid w:val="00F6151C"/>
    <w:rsid w:val="00F61C49"/>
    <w:rsid w:val="00F61CCF"/>
    <w:rsid w:val="00F61D58"/>
    <w:rsid w:val="00F61E84"/>
    <w:rsid w:val="00F62AF8"/>
    <w:rsid w:val="00F62C7C"/>
    <w:rsid w:val="00F62EB7"/>
    <w:rsid w:val="00F630FA"/>
    <w:rsid w:val="00F633F6"/>
    <w:rsid w:val="00F636B0"/>
    <w:rsid w:val="00F636ED"/>
    <w:rsid w:val="00F63942"/>
    <w:rsid w:val="00F63BF8"/>
    <w:rsid w:val="00F64162"/>
    <w:rsid w:val="00F6577F"/>
    <w:rsid w:val="00F65C33"/>
    <w:rsid w:val="00F66429"/>
    <w:rsid w:val="00F666BD"/>
    <w:rsid w:val="00F66CC2"/>
    <w:rsid w:val="00F66E76"/>
    <w:rsid w:val="00F67CAE"/>
    <w:rsid w:val="00F70BEF"/>
    <w:rsid w:val="00F7160E"/>
    <w:rsid w:val="00F71D6A"/>
    <w:rsid w:val="00F7203D"/>
    <w:rsid w:val="00F721B4"/>
    <w:rsid w:val="00F72916"/>
    <w:rsid w:val="00F72BF3"/>
    <w:rsid w:val="00F72E8D"/>
    <w:rsid w:val="00F73084"/>
    <w:rsid w:val="00F74F8A"/>
    <w:rsid w:val="00F74F8D"/>
    <w:rsid w:val="00F75228"/>
    <w:rsid w:val="00F76018"/>
    <w:rsid w:val="00F76AF2"/>
    <w:rsid w:val="00F76B25"/>
    <w:rsid w:val="00F7700B"/>
    <w:rsid w:val="00F773AC"/>
    <w:rsid w:val="00F776A4"/>
    <w:rsid w:val="00F77D9C"/>
    <w:rsid w:val="00F77E7E"/>
    <w:rsid w:val="00F81F48"/>
    <w:rsid w:val="00F826CF"/>
    <w:rsid w:val="00F828AE"/>
    <w:rsid w:val="00F82B4C"/>
    <w:rsid w:val="00F83129"/>
    <w:rsid w:val="00F8322E"/>
    <w:rsid w:val="00F832C7"/>
    <w:rsid w:val="00F838A6"/>
    <w:rsid w:val="00F839D5"/>
    <w:rsid w:val="00F83A5F"/>
    <w:rsid w:val="00F83AC2"/>
    <w:rsid w:val="00F85AB0"/>
    <w:rsid w:val="00F85B9D"/>
    <w:rsid w:val="00F86276"/>
    <w:rsid w:val="00F86350"/>
    <w:rsid w:val="00F86E95"/>
    <w:rsid w:val="00F870A9"/>
    <w:rsid w:val="00F872AD"/>
    <w:rsid w:val="00F87E60"/>
    <w:rsid w:val="00F902B9"/>
    <w:rsid w:val="00F90B77"/>
    <w:rsid w:val="00F90C7A"/>
    <w:rsid w:val="00F91225"/>
    <w:rsid w:val="00F91C5B"/>
    <w:rsid w:val="00F92591"/>
    <w:rsid w:val="00F9268F"/>
    <w:rsid w:val="00F92B3B"/>
    <w:rsid w:val="00F92E6D"/>
    <w:rsid w:val="00F9353A"/>
    <w:rsid w:val="00F93B48"/>
    <w:rsid w:val="00F93E6A"/>
    <w:rsid w:val="00F94586"/>
    <w:rsid w:val="00F94DB5"/>
    <w:rsid w:val="00F953F2"/>
    <w:rsid w:val="00F95767"/>
    <w:rsid w:val="00F961C2"/>
    <w:rsid w:val="00F969C6"/>
    <w:rsid w:val="00F970B5"/>
    <w:rsid w:val="00F97613"/>
    <w:rsid w:val="00F9764A"/>
    <w:rsid w:val="00F97E52"/>
    <w:rsid w:val="00F97FF0"/>
    <w:rsid w:val="00FA0522"/>
    <w:rsid w:val="00FA082D"/>
    <w:rsid w:val="00FA0B26"/>
    <w:rsid w:val="00FA0D87"/>
    <w:rsid w:val="00FA0F1C"/>
    <w:rsid w:val="00FA1044"/>
    <w:rsid w:val="00FA14A2"/>
    <w:rsid w:val="00FA1D57"/>
    <w:rsid w:val="00FA29B0"/>
    <w:rsid w:val="00FA36BE"/>
    <w:rsid w:val="00FA39C5"/>
    <w:rsid w:val="00FA3D37"/>
    <w:rsid w:val="00FA4077"/>
    <w:rsid w:val="00FA4601"/>
    <w:rsid w:val="00FA49FE"/>
    <w:rsid w:val="00FA51F7"/>
    <w:rsid w:val="00FA534E"/>
    <w:rsid w:val="00FA5A9A"/>
    <w:rsid w:val="00FA5B48"/>
    <w:rsid w:val="00FA5F59"/>
    <w:rsid w:val="00FA674E"/>
    <w:rsid w:val="00FA694D"/>
    <w:rsid w:val="00FA6C96"/>
    <w:rsid w:val="00FA70D8"/>
    <w:rsid w:val="00FA73BE"/>
    <w:rsid w:val="00FA7B36"/>
    <w:rsid w:val="00FB0212"/>
    <w:rsid w:val="00FB0333"/>
    <w:rsid w:val="00FB059E"/>
    <w:rsid w:val="00FB07F2"/>
    <w:rsid w:val="00FB0A5D"/>
    <w:rsid w:val="00FB0E05"/>
    <w:rsid w:val="00FB152C"/>
    <w:rsid w:val="00FB1A1E"/>
    <w:rsid w:val="00FB1BC8"/>
    <w:rsid w:val="00FB3396"/>
    <w:rsid w:val="00FB3466"/>
    <w:rsid w:val="00FB3623"/>
    <w:rsid w:val="00FB3DBE"/>
    <w:rsid w:val="00FB4756"/>
    <w:rsid w:val="00FB47AC"/>
    <w:rsid w:val="00FB4F49"/>
    <w:rsid w:val="00FB5074"/>
    <w:rsid w:val="00FB675B"/>
    <w:rsid w:val="00FB67AC"/>
    <w:rsid w:val="00FB6B3E"/>
    <w:rsid w:val="00FB77C4"/>
    <w:rsid w:val="00FC1EA3"/>
    <w:rsid w:val="00FC26AB"/>
    <w:rsid w:val="00FC2CBA"/>
    <w:rsid w:val="00FC31C1"/>
    <w:rsid w:val="00FC327A"/>
    <w:rsid w:val="00FC43CD"/>
    <w:rsid w:val="00FC51C8"/>
    <w:rsid w:val="00FC5685"/>
    <w:rsid w:val="00FC59F6"/>
    <w:rsid w:val="00FC5AE1"/>
    <w:rsid w:val="00FC636C"/>
    <w:rsid w:val="00FD024C"/>
    <w:rsid w:val="00FD029D"/>
    <w:rsid w:val="00FD04EC"/>
    <w:rsid w:val="00FD0966"/>
    <w:rsid w:val="00FD1440"/>
    <w:rsid w:val="00FD17FC"/>
    <w:rsid w:val="00FD1E24"/>
    <w:rsid w:val="00FD26F6"/>
    <w:rsid w:val="00FD2E97"/>
    <w:rsid w:val="00FD349D"/>
    <w:rsid w:val="00FD36C5"/>
    <w:rsid w:val="00FD3F26"/>
    <w:rsid w:val="00FD4425"/>
    <w:rsid w:val="00FD45D8"/>
    <w:rsid w:val="00FD4977"/>
    <w:rsid w:val="00FD54F9"/>
    <w:rsid w:val="00FD56EA"/>
    <w:rsid w:val="00FD57CF"/>
    <w:rsid w:val="00FD58F6"/>
    <w:rsid w:val="00FD5B36"/>
    <w:rsid w:val="00FD5CA2"/>
    <w:rsid w:val="00FD602E"/>
    <w:rsid w:val="00FD632F"/>
    <w:rsid w:val="00FD63B0"/>
    <w:rsid w:val="00FD64A1"/>
    <w:rsid w:val="00FD6C61"/>
    <w:rsid w:val="00FD7216"/>
    <w:rsid w:val="00FD7574"/>
    <w:rsid w:val="00FD789B"/>
    <w:rsid w:val="00FD7EA5"/>
    <w:rsid w:val="00FE0924"/>
    <w:rsid w:val="00FE12C7"/>
    <w:rsid w:val="00FE1345"/>
    <w:rsid w:val="00FE191A"/>
    <w:rsid w:val="00FE1997"/>
    <w:rsid w:val="00FE1F08"/>
    <w:rsid w:val="00FE267E"/>
    <w:rsid w:val="00FE27D9"/>
    <w:rsid w:val="00FE35C7"/>
    <w:rsid w:val="00FE3789"/>
    <w:rsid w:val="00FE3E52"/>
    <w:rsid w:val="00FE46CD"/>
    <w:rsid w:val="00FE4AF4"/>
    <w:rsid w:val="00FE598D"/>
    <w:rsid w:val="00FE5EC8"/>
    <w:rsid w:val="00FE6D37"/>
    <w:rsid w:val="00FE7F7C"/>
    <w:rsid w:val="00FF0B41"/>
    <w:rsid w:val="00FF0DCD"/>
    <w:rsid w:val="00FF10BA"/>
    <w:rsid w:val="00FF11EB"/>
    <w:rsid w:val="00FF1A85"/>
    <w:rsid w:val="00FF20ED"/>
    <w:rsid w:val="00FF22FD"/>
    <w:rsid w:val="00FF4411"/>
    <w:rsid w:val="00FF47E3"/>
    <w:rsid w:val="00FF4A62"/>
    <w:rsid w:val="00FF5BD5"/>
    <w:rsid w:val="00FF5F0B"/>
    <w:rsid w:val="00FF68E3"/>
    <w:rsid w:val="00FF6B6F"/>
    <w:rsid w:val="00FF7A2C"/>
    <w:rsid w:val="00FF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71D3A"/>
  <w15:chartTrackingRefBased/>
  <w15:docId w15:val="{10F1124B-260E-47FF-9054-3641A491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2A4"/>
    <w:rPr>
      <w:rFonts w:ascii="Aptos" w:hAnsi="Aptos"/>
    </w:rPr>
  </w:style>
  <w:style w:type="paragraph" w:styleId="Heading1">
    <w:name w:val="heading 1"/>
    <w:basedOn w:val="Normal"/>
    <w:next w:val="Normal"/>
    <w:link w:val="Heading1Char"/>
    <w:uiPriority w:val="9"/>
    <w:qFormat/>
    <w:rsid w:val="002425EF"/>
    <w:pPr>
      <w:keepNext/>
      <w:keepLines/>
      <w:pBdr>
        <w:bottom w:val="single" w:sz="18" w:space="1" w:color="002C7C" w:themeColor="accent1"/>
      </w:pBdr>
      <w:spacing w:before="240" w:after="120"/>
      <w:jc w:val="left"/>
      <w:outlineLvl w:val="0"/>
    </w:pPr>
    <w:rPr>
      <w:rFonts w:asciiTheme="majorHAnsi" w:eastAsiaTheme="majorEastAsia" w:hAnsiTheme="majorHAnsi" w:cstheme="majorBidi"/>
      <w:b/>
      <w:color w:val="002C7C" w:themeColor="accent1"/>
      <w:sz w:val="32"/>
      <w:szCs w:val="32"/>
    </w:rPr>
  </w:style>
  <w:style w:type="paragraph" w:styleId="Heading2">
    <w:name w:val="heading 2"/>
    <w:basedOn w:val="Normal"/>
    <w:next w:val="Normal"/>
    <w:link w:val="Heading2Char"/>
    <w:uiPriority w:val="9"/>
    <w:unhideWhenUsed/>
    <w:qFormat/>
    <w:rsid w:val="00A00AB2"/>
    <w:pPr>
      <w:keepNext/>
      <w:keepLines/>
      <w:spacing w:before="40" w:after="0"/>
      <w:outlineLvl w:val="1"/>
    </w:pPr>
    <w:rPr>
      <w:rFonts w:eastAsiaTheme="majorEastAsia" w:cstheme="majorBidi"/>
      <w:color w:val="00205C" w:themeColor="accent1" w:themeShade="BF"/>
      <w:sz w:val="26"/>
      <w:szCs w:val="26"/>
    </w:rPr>
  </w:style>
  <w:style w:type="paragraph" w:styleId="Heading3">
    <w:name w:val="heading 3"/>
    <w:basedOn w:val="Normal"/>
    <w:next w:val="Normal"/>
    <w:link w:val="Heading3Char"/>
    <w:uiPriority w:val="9"/>
    <w:unhideWhenUsed/>
    <w:qFormat/>
    <w:rsid w:val="00C30F59"/>
    <w:pPr>
      <w:keepNext/>
      <w:keepLines/>
      <w:spacing w:before="40" w:after="0"/>
      <w:outlineLvl w:val="2"/>
    </w:pPr>
    <w:rPr>
      <w:rFonts w:eastAsiaTheme="majorEastAsia" w:cstheme="majorBidi"/>
      <w:i/>
      <w:color w:val="00153D" w:themeColor="accent1" w:themeShade="7F"/>
      <w:sz w:val="24"/>
      <w:szCs w:val="24"/>
    </w:rPr>
  </w:style>
  <w:style w:type="paragraph" w:styleId="Heading4">
    <w:name w:val="heading 4"/>
    <w:basedOn w:val="Normal"/>
    <w:next w:val="Normal"/>
    <w:link w:val="Heading4Char"/>
    <w:uiPriority w:val="9"/>
    <w:unhideWhenUsed/>
    <w:qFormat/>
    <w:rsid w:val="005A436A"/>
    <w:pPr>
      <w:keepNext/>
      <w:keepLines/>
      <w:spacing w:before="40" w:after="0"/>
      <w:jc w:val="left"/>
      <w:outlineLvl w:val="3"/>
    </w:pPr>
    <w:rPr>
      <w:rFonts w:asciiTheme="majorHAnsi" w:eastAsiaTheme="majorEastAsia" w:hAnsiTheme="majorHAnsi" w:cstheme="majorBidi"/>
      <w:i/>
      <w:iCs/>
      <w:color w:val="00205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369E"/>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AE5BAE"/>
    <w:rPr>
      <w:color w:val="44546A" w:themeColor="text2"/>
      <w:sz w:val="20"/>
      <w:szCs w:val="20"/>
    </w:rPr>
  </w:style>
  <w:style w:type="paragraph" w:styleId="Header">
    <w:name w:val="header"/>
    <w:basedOn w:val="Normal"/>
    <w:link w:val="HeaderChar"/>
    <w:uiPriority w:val="99"/>
    <w:unhideWhenUsed/>
    <w:rsid w:val="00B53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71E"/>
  </w:style>
  <w:style w:type="paragraph" w:styleId="Footer">
    <w:name w:val="footer"/>
    <w:basedOn w:val="Normal"/>
    <w:link w:val="FooterChar"/>
    <w:uiPriority w:val="99"/>
    <w:unhideWhenUsed/>
    <w:rsid w:val="00B53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71E"/>
  </w:style>
  <w:style w:type="character" w:customStyle="1" w:styleId="Heading1Char">
    <w:name w:val="Heading 1 Char"/>
    <w:basedOn w:val="DefaultParagraphFont"/>
    <w:link w:val="Heading1"/>
    <w:uiPriority w:val="9"/>
    <w:rsid w:val="002425EF"/>
    <w:rPr>
      <w:rFonts w:asciiTheme="majorHAnsi" w:eastAsiaTheme="majorEastAsia" w:hAnsiTheme="majorHAnsi" w:cstheme="majorBidi"/>
      <w:b/>
      <w:color w:val="002C7C" w:themeColor="accent1"/>
      <w:sz w:val="32"/>
      <w:szCs w:val="32"/>
    </w:rPr>
  </w:style>
  <w:style w:type="character" w:customStyle="1" w:styleId="Heading2Char">
    <w:name w:val="Heading 2 Char"/>
    <w:basedOn w:val="DefaultParagraphFont"/>
    <w:link w:val="Heading2"/>
    <w:uiPriority w:val="9"/>
    <w:rsid w:val="00A00AB2"/>
    <w:rPr>
      <w:rFonts w:ascii="Calibri Light" w:eastAsiaTheme="majorEastAsia" w:hAnsi="Calibri Light" w:cstheme="majorBidi"/>
      <w:color w:val="00205C" w:themeColor="accent1" w:themeShade="BF"/>
      <w:sz w:val="26"/>
      <w:szCs w:val="26"/>
    </w:rPr>
  </w:style>
  <w:style w:type="paragraph" w:styleId="TOCHeading">
    <w:name w:val="TOC Heading"/>
    <w:basedOn w:val="Heading1"/>
    <w:next w:val="Normal"/>
    <w:uiPriority w:val="39"/>
    <w:unhideWhenUsed/>
    <w:qFormat/>
    <w:rsid w:val="00237139"/>
    <w:pPr>
      <w:pBdr>
        <w:bottom w:val="none" w:sz="0" w:space="0" w:color="auto"/>
      </w:pBdr>
      <w:spacing w:after="0"/>
      <w:outlineLvl w:val="9"/>
    </w:pPr>
    <w:rPr>
      <w:b w:val="0"/>
      <w:color w:val="00205C" w:themeColor="accent1" w:themeShade="BF"/>
    </w:rPr>
  </w:style>
  <w:style w:type="paragraph" w:styleId="TOC1">
    <w:name w:val="toc 1"/>
    <w:basedOn w:val="Normal"/>
    <w:next w:val="Normal"/>
    <w:autoRedefine/>
    <w:uiPriority w:val="39"/>
    <w:unhideWhenUsed/>
    <w:rsid w:val="00237139"/>
    <w:pPr>
      <w:spacing w:after="100"/>
    </w:pPr>
  </w:style>
  <w:style w:type="paragraph" w:styleId="TOC2">
    <w:name w:val="toc 2"/>
    <w:basedOn w:val="Normal"/>
    <w:next w:val="Normal"/>
    <w:autoRedefine/>
    <w:uiPriority w:val="39"/>
    <w:unhideWhenUsed/>
    <w:rsid w:val="00237139"/>
    <w:pPr>
      <w:spacing w:after="100"/>
      <w:ind w:left="220"/>
    </w:pPr>
  </w:style>
  <w:style w:type="character" w:styleId="Hyperlink">
    <w:name w:val="Hyperlink"/>
    <w:basedOn w:val="DefaultParagraphFont"/>
    <w:uiPriority w:val="99"/>
    <w:unhideWhenUsed/>
    <w:rsid w:val="00237139"/>
    <w:rPr>
      <w:color w:val="0563C1" w:themeColor="hyperlink"/>
      <w:u w:val="single"/>
    </w:rPr>
  </w:style>
  <w:style w:type="paragraph" w:styleId="ListParagraph">
    <w:name w:val="List Paragraph"/>
    <w:basedOn w:val="Normal"/>
    <w:uiPriority w:val="34"/>
    <w:qFormat/>
    <w:rsid w:val="00E43A60"/>
    <w:pPr>
      <w:ind w:left="720"/>
      <w:contextualSpacing/>
    </w:pPr>
  </w:style>
  <w:style w:type="paragraph" w:styleId="Caption">
    <w:name w:val="caption"/>
    <w:basedOn w:val="Normal"/>
    <w:next w:val="Normal"/>
    <w:uiPriority w:val="35"/>
    <w:unhideWhenUsed/>
    <w:qFormat/>
    <w:rsid w:val="00F05FF9"/>
    <w:pPr>
      <w:keepNext/>
      <w:spacing w:before="80" w:after="80" w:line="240" w:lineRule="auto"/>
      <w:jc w:val="center"/>
    </w:pPr>
    <w:rPr>
      <w:b/>
      <w:iCs/>
      <w:color w:val="000000" w:themeColor="text1"/>
      <w:sz w:val="20"/>
      <w:szCs w:val="18"/>
    </w:rPr>
  </w:style>
  <w:style w:type="paragraph" w:styleId="TableofFigures">
    <w:name w:val="table of figures"/>
    <w:basedOn w:val="Normal"/>
    <w:next w:val="Normal"/>
    <w:uiPriority w:val="99"/>
    <w:unhideWhenUsed/>
    <w:rsid w:val="0090401C"/>
    <w:pPr>
      <w:spacing w:after="0"/>
    </w:pPr>
  </w:style>
  <w:style w:type="paragraph" w:styleId="FootnoteText">
    <w:name w:val="footnote text"/>
    <w:basedOn w:val="Normal"/>
    <w:link w:val="FootnoteTextChar"/>
    <w:uiPriority w:val="99"/>
    <w:semiHidden/>
    <w:unhideWhenUsed/>
    <w:rsid w:val="00845B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BB1"/>
    <w:rPr>
      <w:rFonts w:ascii="Calibri Light" w:hAnsi="Calibri Light"/>
      <w:sz w:val="20"/>
      <w:szCs w:val="20"/>
    </w:rPr>
  </w:style>
  <w:style w:type="character" w:styleId="FootnoteReference">
    <w:name w:val="footnote reference"/>
    <w:basedOn w:val="DefaultParagraphFont"/>
    <w:uiPriority w:val="99"/>
    <w:semiHidden/>
    <w:unhideWhenUsed/>
    <w:rsid w:val="00845BB1"/>
    <w:rPr>
      <w:vertAlign w:val="superscript"/>
    </w:rPr>
  </w:style>
  <w:style w:type="character" w:styleId="UnresolvedMention">
    <w:name w:val="Unresolved Mention"/>
    <w:basedOn w:val="DefaultParagraphFont"/>
    <w:uiPriority w:val="99"/>
    <w:semiHidden/>
    <w:unhideWhenUsed/>
    <w:rsid w:val="00184D8C"/>
    <w:rPr>
      <w:color w:val="605E5C"/>
      <w:shd w:val="clear" w:color="auto" w:fill="E1DFDD"/>
    </w:rPr>
  </w:style>
  <w:style w:type="table" w:styleId="TableGrid">
    <w:name w:val="Table Grid"/>
    <w:basedOn w:val="TableNormal"/>
    <w:uiPriority w:val="39"/>
    <w:rsid w:val="00D42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30F59"/>
    <w:rPr>
      <w:rFonts w:ascii="Calibri Light" w:eastAsiaTheme="majorEastAsia" w:hAnsi="Calibri Light" w:cstheme="majorBidi"/>
      <w:i/>
      <w:color w:val="00153D" w:themeColor="accent1" w:themeShade="7F"/>
      <w:sz w:val="24"/>
      <w:szCs w:val="24"/>
    </w:rPr>
  </w:style>
  <w:style w:type="paragraph" w:styleId="TOC3">
    <w:name w:val="toc 3"/>
    <w:basedOn w:val="Normal"/>
    <w:next w:val="Normal"/>
    <w:autoRedefine/>
    <w:uiPriority w:val="39"/>
    <w:unhideWhenUsed/>
    <w:rsid w:val="00827C02"/>
    <w:pPr>
      <w:spacing w:after="100"/>
      <w:ind w:left="440"/>
    </w:pPr>
  </w:style>
  <w:style w:type="paragraph" w:styleId="TOC4">
    <w:name w:val="toc 4"/>
    <w:basedOn w:val="Normal"/>
    <w:next w:val="Normal"/>
    <w:autoRedefine/>
    <w:uiPriority w:val="39"/>
    <w:unhideWhenUsed/>
    <w:rsid w:val="00644B63"/>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644B63"/>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644B63"/>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644B63"/>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644B63"/>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644B63"/>
    <w:pPr>
      <w:spacing w:after="100"/>
      <w:ind w:left="1760"/>
      <w:jc w:val="left"/>
    </w:pPr>
    <w:rPr>
      <w:rFonts w:asciiTheme="minorHAnsi" w:eastAsiaTheme="minorEastAsia" w:hAnsiTheme="minorHAnsi"/>
    </w:rPr>
  </w:style>
  <w:style w:type="paragraph" w:customStyle="1" w:styleId="TableContent">
    <w:name w:val="Table Content"/>
    <w:basedOn w:val="Normal"/>
    <w:link w:val="TableContentChar"/>
    <w:qFormat/>
    <w:rsid w:val="00670FA8"/>
    <w:pPr>
      <w:spacing w:after="0" w:line="240" w:lineRule="auto"/>
    </w:pPr>
    <w:rPr>
      <w:sz w:val="20"/>
    </w:rPr>
  </w:style>
  <w:style w:type="character" w:customStyle="1" w:styleId="TableContentChar">
    <w:name w:val="Table Content Char"/>
    <w:basedOn w:val="DefaultParagraphFont"/>
    <w:link w:val="TableContent"/>
    <w:rsid w:val="00670FA8"/>
    <w:rPr>
      <w:rFonts w:ascii="Calibri Light" w:hAnsi="Calibri Light"/>
      <w:sz w:val="20"/>
    </w:rPr>
  </w:style>
  <w:style w:type="paragraph" w:styleId="BalloonText">
    <w:name w:val="Balloon Text"/>
    <w:basedOn w:val="Normal"/>
    <w:link w:val="BalloonTextChar"/>
    <w:uiPriority w:val="99"/>
    <w:semiHidden/>
    <w:unhideWhenUsed/>
    <w:rsid w:val="00584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E89"/>
    <w:rPr>
      <w:rFonts w:ascii="Segoe UI" w:hAnsi="Segoe UI" w:cs="Segoe UI"/>
      <w:sz w:val="18"/>
      <w:szCs w:val="18"/>
    </w:rPr>
  </w:style>
  <w:style w:type="table" w:styleId="ListTable3-Accent1">
    <w:name w:val="List Table 3 Accent 1"/>
    <w:basedOn w:val="TableNormal"/>
    <w:uiPriority w:val="48"/>
    <w:rsid w:val="009066E6"/>
    <w:pPr>
      <w:spacing w:after="0" w:line="240" w:lineRule="auto"/>
    </w:pPr>
    <w:tblPr>
      <w:tblStyleRowBandSize w:val="1"/>
      <w:tblStyleColBandSize w:val="1"/>
      <w:tblBorders>
        <w:top w:val="single" w:sz="4" w:space="0" w:color="002C7C" w:themeColor="accent1"/>
        <w:left w:val="single" w:sz="4" w:space="0" w:color="002C7C" w:themeColor="accent1"/>
        <w:bottom w:val="single" w:sz="4" w:space="0" w:color="002C7C" w:themeColor="accent1"/>
        <w:right w:val="single" w:sz="4" w:space="0" w:color="002C7C" w:themeColor="accent1"/>
      </w:tblBorders>
    </w:tblPr>
    <w:tblStylePr w:type="firstRow">
      <w:rPr>
        <w:b/>
        <w:bCs/>
        <w:color w:val="FFFFFF" w:themeColor="background1"/>
      </w:rPr>
      <w:tblPr/>
      <w:tcPr>
        <w:shd w:val="clear" w:color="auto" w:fill="002C7C" w:themeFill="accent1"/>
      </w:tcPr>
    </w:tblStylePr>
    <w:tblStylePr w:type="lastRow">
      <w:rPr>
        <w:b/>
        <w:bCs/>
      </w:rPr>
      <w:tblPr/>
      <w:tcPr>
        <w:tcBorders>
          <w:top w:val="double" w:sz="4" w:space="0" w:color="002C7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7C" w:themeColor="accent1"/>
          <w:right w:val="single" w:sz="4" w:space="0" w:color="002C7C" w:themeColor="accent1"/>
        </w:tcBorders>
      </w:tcPr>
    </w:tblStylePr>
    <w:tblStylePr w:type="band1Horz">
      <w:tblPr/>
      <w:tcPr>
        <w:tcBorders>
          <w:top w:val="single" w:sz="4" w:space="0" w:color="002C7C" w:themeColor="accent1"/>
          <w:bottom w:val="single" w:sz="4" w:space="0" w:color="002C7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7C" w:themeColor="accent1"/>
          <w:left w:val="nil"/>
        </w:tcBorders>
      </w:tcPr>
    </w:tblStylePr>
    <w:tblStylePr w:type="swCell">
      <w:tblPr/>
      <w:tcPr>
        <w:tcBorders>
          <w:top w:val="double" w:sz="4" w:space="0" w:color="002C7C" w:themeColor="accent1"/>
          <w:right w:val="nil"/>
        </w:tcBorders>
      </w:tcPr>
    </w:tblStylePr>
  </w:style>
  <w:style w:type="table" w:styleId="ListTable3-Accent2">
    <w:name w:val="List Table 3 Accent 2"/>
    <w:basedOn w:val="TableNormal"/>
    <w:uiPriority w:val="48"/>
    <w:rsid w:val="009066E6"/>
    <w:pPr>
      <w:spacing w:after="0" w:line="240" w:lineRule="auto"/>
    </w:pPr>
    <w:tblPr>
      <w:tblStyleRowBandSize w:val="1"/>
      <w:tblStyleColBandSize w:val="1"/>
      <w:tblBorders>
        <w:top w:val="single" w:sz="4" w:space="0" w:color="27AAE1" w:themeColor="accent2"/>
        <w:left w:val="single" w:sz="4" w:space="0" w:color="27AAE1" w:themeColor="accent2"/>
        <w:bottom w:val="single" w:sz="4" w:space="0" w:color="27AAE1" w:themeColor="accent2"/>
        <w:right w:val="single" w:sz="4" w:space="0" w:color="27AAE1" w:themeColor="accent2"/>
      </w:tblBorders>
    </w:tblPr>
    <w:tblStylePr w:type="firstRow">
      <w:rPr>
        <w:b/>
        <w:bCs/>
        <w:color w:val="FFFFFF" w:themeColor="background1"/>
      </w:rPr>
      <w:tblPr/>
      <w:tcPr>
        <w:shd w:val="clear" w:color="auto" w:fill="27AAE1" w:themeFill="accent2"/>
      </w:tcPr>
    </w:tblStylePr>
    <w:tblStylePr w:type="lastRow">
      <w:rPr>
        <w:b/>
        <w:bCs/>
      </w:rPr>
      <w:tblPr/>
      <w:tcPr>
        <w:tcBorders>
          <w:top w:val="double" w:sz="4" w:space="0" w:color="27AA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AE1" w:themeColor="accent2"/>
          <w:right w:val="single" w:sz="4" w:space="0" w:color="27AAE1" w:themeColor="accent2"/>
        </w:tcBorders>
      </w:tcPr>
    </w:tblStylePr>
    <w:tblStylePr w:type="band1Horz">
      <w:tblPr/>
      <w:tcPr>
        <w:tcBorders>
          <w:top w:val="single" w:sz="4" w:space="0" w:color="27AAE1" w:themeColor="accent2"/>
          <w:bottom w:val="single" w:sz="4" w:space="0" w:color="27AA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AE1" w:themeColor="accent2"/>
          <w:left w:val="nil"/>
        </w:tcBorders>
      </w:tcPr>
    </w:tblStylePr>
    <w:tblStylePr w:type="swCell">
      <w:tblPr/>
      <w:tcPr>
        <w:tcBorders>
          <w:top w:val="double" w:sz="4" w:space="0" w:color="27AAE1" w:themeColor="accent2"/>
          <w:right w:val="nil"/>
        </w:tcBorders>
      </w:tcPr>
    </w:tblStylePr>
  </w:style>
  <w:style w:type="table" w:styleId="ListTable7Colorful-Accent1">
    <w:name w:val="List Table 7 Colorful Accent 1"/>
    <w:basedOn w:val="TableNormal"/>
    <w:uiPriority w:val="52"/>
    <w:rsid w:val="008E06C8"/>
    <w:pPr>
      <w:spacing w:after="0" w:line="240" w:lineRule="auto"/>
    </w:pPr>
    <w:rPr>
      <w:color w:val="00205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C7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C7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C7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C7C" w:themeColor="accent1"/>
        </w:tcBorders>
        <w:shd w:val="clear" w:color="auto" w:fill="FFFFFF" w:themeFill="background1"/>
      </w:tcPr>
    </w:tblStylePr>
    <w:tblStylePr w:type="band1Vert">
      <w:tblPr/>
      <w:tcPr>
        <w:shd w:val="clear" w:color="auto" w:fill="B1CCFF" w:themeFill="accent1" w:themeFillTint="33"/>
      </w:tcPr>
    </w:tblStylePr>
    <w:tblStylePr w:type="band1Horz">
      <w:tblPr/>
      <w:tcPr>
        <w:shd w:val="clear" w:color="auto" w:fill="B1C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BC57B2"/>
    <w:pPr>
      <w:spacing w:after="0" w:line="240" w:lineRule="auto"/>
    </w:pPr>
    <w:rPr>
      <w:color w:val="00205C" w:themeColor="accent1" w:themeShade="BF"/>
    </w:rPr>
    <w:tblPr>
      <w:tblStyleRowBandSize w:val="1"/>
      <w:tblStyleColBandSize w:val="1"/>
      <w:tblBorders>
        <w:top w:val="single" w:sz="4" w:space="0" w:color="002C7C" w:themeColor="accent1"/>
        <w:bottom w:val="single" w:sz="4" w:space="0" w:color="002C7C" w:themeColor="accent1"/>
      </w:tblBorders>
    </w:tblPr>
    <w:tblStylePr w:type="firstRow">
      <w:rPr>
        <w:b/>
        <w:bCs/>
      </w:rPr>
      <w:tblPr/>
      <w:tcPr>
        <w:tcBorders>
          <w:bottom w:val="single" w:sz="4" w:space="0" w:color="002C7C" w:themeColor="accent1"/>
        </w:tcBorders>
      </w:tcPr>
    </w:tblStylePr>
    <w:tblStylePr w:type="lastRow">
      <w:rPr>
        <w:b/>
        <w:bCs/>
      </w:rPr>
      <w:tblPr/>
      <w:tcPr>
        <w:tcBorders>
          <w:top w:val="double" w:sz="4" w:space="0" w:color="002C7C" w:themeColor="accent1"/>
        </w:tcBorders>
      </w:tcPr>
    </w:tblStylePr>
    <w:tblStylePr w:type="firstCol">
      <w:rPr>
        <w:b/>
        <w:bCs/>
      </w:rPr>
    </w:tblStylePr>
    <w:tblStylePr w:type="lastCol">
      <w:rPr>
        <w:b/>
        <w:bCs/>
      </w:rPr>
    </w:tblStylePr>
    <w:tblStylePr w:type="band1Vert">
      <w:tblPr/>
      <w:tcPr>
        <w:shd w:val="clear" w:color="auto" w:fill="B1CCFF" w:themeFill="accent1" w:themeFillTint="33"/>
      </w:tcPr>
    </w:tblStylePr>
    <w:tblStylePr w:type="band1Horz">
      <w:tblPr/>
      <w:tcPr>
        <w:shd w:val="clear" w:color="auto" w:fill="B1CCFF" w:themeFill="accent1" w:themeFillTint="33"/>
      </w:tcPr>
    </w:tblStylePr>
  </w:style>
  <w:style w:type="table" w:styleId="PlainTable3">
    <w:name w:val="Plain Table 3"/>
    <w:basedOn w:val="TableNormal"/>
    <w:uiPriority w:val="43"/>
    <w:rsid w:val="00BC57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8B59E4"/>
    <w:pPr>
      <w:spacing w:after="0" w:line="240" w:lineRule="auto"/>
    </w:pPr>
    <w:tblPr>
      <w:tblStyleRowBandSize w:val="1"/>
      <w:tblStyleColBandSize w:val="1"/>
      <w:tblBorders>
        <w:top w:val="single" w:sz="4" w:space="0" w:color="1769FF" w:themeColor="accent1" w:themeTint="99"/>
        <w:left w:val="single" w:sz="4" w:space="0" w:color="1769FF" w:themeColor="accent1" w:themeTint="99"/>
        <w:bottom w:val="single" w:sz="4" w:space="0" w:color="1769FF" w:themeColor="accent1" w:themeTint="99"/>
        <w:right w:val="single" w:sz="4" w:space="0" w:color="1769FF" w:themeColor="accent1" w:themeTint="99"/>
        <w:insideH w:val="single" w:sz="4" w:space="0" w:color="1769FF" w:themeColor="accent1" w:themeTint="99"/>
        <w:insideV w:val="single" w:sz="4" w:space="0" w:color="1769FF" w:themeColor="accent1" w:themeTint="99"/>
      </w:tblBorders>
    </w:tblPr>
    <w:tblStylePr w:type="firstRow">
      <w:rPr>
        <w:b/>
        <w:bCs/>
        <w:color w:val="FFFFFF" w:themeColor="background1"/>
      </w:rPr>
      <w:tblPr/>
      <w:tcPr>
        <w:tcBorders>
          <w:top w:val="single" w:sz="4" w:space="0" w:color="002C7C" w:themeColor="accent1"/>
          <w:left w:val="single" w:sz="4" w:space="0" w:color="002C7C" w:themeColor="accent1"/>
          <w:bottom w:val="single" w:sz="4" w:space="0" w:color="002C7C" w:themeColor="accent1"/>
          <w:right w:val="single" w:sz="4" w:space="0" w:color="002C7C" w:themeColor="accent1"/>
          <w:insideH w:val="nil"/>
          <w:insideV w:val="nil"/>
        </w:tcBorders>
        <w:shd w:val="clear" w:color="auto" w:fill="002C7C" w:themeFill="accent1"/>
      </w:tcPr>
    </w:tblStylePr>
    <w:tblStylePr w:type="lastRow">
      <w:rPr>
        <w:b/>
        <w:bCs/>
      </w:rPr>
      <w:tblPr/>
      <w:tcPr>
        <w:tcBorders>
          <w:top w:val="double" w:sz="4" w:space="0" w:color="002C7C" w:themeColor="accent1"/>
        </w:tcBorders>
      </w:tcPr>
    </w:tblStylePr>
    <w:tblStylePr w:type="firstCol">
      <w:rPr>
        <w:b/>
        <w:bCs/>
      </w:rPr>
    </w:tblStylePr>
    <w:tblStylePr w:type="lastCol">
      <w:rPr>
        <w:b/>
        <w:bCs/>
      </w:rPr>
    </w:tblStylePr>
    <w:tblStylePr w:type="band1Vert">
      <w:tblPr/>
      <w:tcPr>
        <w:shd w:val="clear" w:color="auto" w:fill="B1CCFF" w:themeFill="accent1" w:themeFillTint="33"/>
      </w:tcPr>
    </w:tblStylePr>
    <w:tblStylePr w:type="band1Horz">
      <w:tblPr/>
      <w:tcPr>
        <w:shd w:val="clear" w:color="auto" w:fill="B1CCFF" w:themeFill="accent1" w:themeFillTint="33"/>
      </w:tcPr>
    </w:tblStylePr>
  </w:style>
  <w:style w:type="table" w:styleId="GridTable2">
    <w:name w:val="Grid Table 2"/>
    <w:basedOn w:val="TableNormal"/>
    <w:uiPriority w:val="47"/>
    <w:rsid w:val="008B59E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016D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A41C2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house1">
    <w:name w:val="Lighthouse1"/>
    <w:basedOn w:val="ListTable3-Accent1"/>
    <w:uiPriority w:val="99"/>
    <w:rsid w:val="00D85A18"/>
    <w:pPr>
      <w:jc w:val="right"/>
    </w:pPr>
    <w:rPr>
      <w:rFonts w:ascii="Aptos" w:hAnsi="Aptos"/>
      <w:sz w:val="20"/>
    </w:rPr>
    <w:tblPr>
      <w:tblBorders>
        <w:top w:val="none" w:sz="0" w:space="0" w:color="auto"/>
        <w:left w:val="none" w:sz="0" w:space="0" w:color="auto"/>
        <w:bottom w:val="none" w:sz="0" w:space="0" w:color="auto"/>
        <w:right w:val="none" w:sz="0" w:space="0" w:color="auto"/>
      </w:tblBorders>
    </w:tblPr>
    <w:tcPr>
      <w:vAlign w:val="center"/>
    </w:tcPr>
    <w:tblStylePr w:type="firstRow">
      <w:rPr>
        <w:b/>
        <w:bCs/>
        <w:caps w:val="0"/>
        <w:smallCaps w:val="0"/>
        <w:color w:val="FFFFFF" w:themeColor="background1"/>
      </w:rPr>
      <w:tblPr/>
      <w:tcPr>
        <w:tcBorders>
          <w:top w:val="nil"/>
          <w:bottom w:val="nil"/>
        </w:tcBorders>
        <w:shd w:val="clear" w:color="auto" w:fill="002C7C" w:themeFill="accent1"/>
      </w:tcPr>
    </w:tblStylePr>
    <w:tblStylePr w:type="lastRow">
      <w:rPr>
        <w:b/>
        <w:bCs/>
      </w:rPr>
      <w:tblPr/>
      <w:tcPr>
        <w:tcBorders>
          <w:top w:val="nil"/>
          <w:bottom w:val="nil"/>
        </w:tcBorders>
        <w:shd w:val="clear" w:color="auto" w:fill="FFFFFF" w:themeFill="background1"/>
      </w:tcPr>
    </w:tblStylePr>
    <w:tblStylePr w:type="firstCol">
      <w:pPr>
        <w:wordWrap/>
        <w:jc w:val="left"/>
      </w:pPr>
      <w:rPr>
        <w:rFonts w:ascii="Aptos" w:hAnsi="Aptos"/>
        <w:b w:val="0"/>
        <w:bCs/>
        <w:caps w:val="0"/>
        <w:smallCaps w:val="0"/>
        <w:color w:val="auto"/>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7C" w:themeColor="accent1"/>
          <w:right w:val="single" w:sz="4" w:space="0" w:color="002C7C" w:themeColor="accent1"/>
        </w:tcBorders>
      </w:tcPr>
    </w:tblStylePr>
    <w:tblStylePr w:type="band2Vert">
      <w:rPr>
        <w:rFonts w:ascii="Aptos" w:hAnsi="Aptos"/>
        <w:color w:val="000000" w:themeColor="text1"/>
        <w:sz w:val="20"/>
      </w:rPr>
    </w:tblStylePr>
    <w:tblStylePr w:type="band1Horz">
      <w:rPr>
        <w:rFonts w:ascii="Aptos" w:hAnsi="Aptos"/>
        <w:color w:val="000000" w:themeColor="text1"/>
        <w:sz w:val="20"/>
      </w:rPr>
      <w:tblPr/>
      <w:tcPr>
        <w:tcBorders>
          <w:top w:val="nil"/>
          <w:left w:val="nil"/>
          <w:bottom w:val="nil"/>
          <w:right w:val="nil"/>
          <w:insideH w:val="nil"/>
          <w:insideV w:val="nil"/>
          <w:tl2br w:val="nil"/>
          <w:tr2bl w:val="nil"/>
        </w:tcBorders>
      </w:tcPr>
    </w:tblStylePr>
    <w:tblStylePr w:type="band2Horz">
      <w:rPr>
        <w:rFonts w:ascii="Calibri Light" w:hAnsi="Calibri Light"/>
        <w:sz w:val="20"/>
      </w:rPr>
      <w:tblPr/>
      <w:tcPr>
        <w:tcBorders>
          <w:top w:val="nil"/>
          <w:left w:val="nil"/>
          <w:bottom w:val="nil"/>
          <w:right w:val="nil"/>
          <w:insideH w:val="nil"/>
          <w:insideV w:val="nil"/>
          <w:tl2br w:val="nil"/>
          <w:tr2bl w:val="nil"/>
        </w:tcBorders>
        <w:shd w:val="clear" w:color="auto" w:fill="E7E6E6" w:themeFill="background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7C" w:themeColor="accent1"/>
          <w:left w:val="nil"/>
        </w:tcBorders>
      </w:tcPr>
    </w:tblStylePr>
    <w:tblStylePr w:type="swCell">
      <w:tblPr/>
      <w:tcPr>
        <w:tcBorders>
          <w:top w:val="double" w:sz="4" w:space="0" w:color="002C7C" w:themeColor="accent1"/>
          <w:right w:val="nil"/>
        </w:tcBorders>
      </w:tcPr>
    </w:tblStylePr>
  </w:style>
  <w:style w:type="character" w:styleId="CommentReference">
    <w:name w:val="annotation reference"/>
    <w:basedOn w:val="DefaultParagraphFont"/>
    <w:uiPriority w:val="99"/>
    <w:semiHidden/>
    <w:unhideWhenUsed/>
    <w:rsid w:val="005C4986"/>
    <w:rPr>
      <w:sz w:val="16"/>
      <w:szCs w:val="16"/>
    </w:rPr>
  </w:style>
  <w:style w:type="paragraph" w:styleId="CommentText">
    <w:name w:val="annotation text"/>
    <w:basedOn w:val="Normal"/>
    <w:link w:val="CommentTextChar"/>
    <w:uiPriority w:val="99"/>
    <w:unhideWhenUsed/>
    <w:rsid w:val="005C4986"/>
    <w:pPr>
      <w:spacing w:line="240" w:lineRule="auto"/>
    </w:pPr>
    <w:rPr>
      <w:sz w:val="20"/>
      <w:szCs w:val="20"/>
    </w:rPr>
  </w:style>
  <w:style w:type="character" w:customStyle="1" w:styleId="CommentTextChar">
    <w:name w:val="Comment Text Char"/>
    <w:basedOn w:val="DefaultParagraphFont"/>
    <w:link w:val="CommentText"/>
    <w:uiPriority w:val="99"/>
    <w:rsid w:val="005C4986"/>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5C4986"/>
    <w:rPr>
      <w:b/>
      <w:bCs/>
    </w:rPr>
  </w:style>
  <w:style w:type="character" w:customStyle="1" w:styleId="CommentSubjectChar">
    <w:name w:val="Comment Subject Char"/>
    <w:basedOn w:val="CommentTextChar"/>
    <w:link w:val="CommentSubject"/>
    <w:uiPriority w:val="99"/>
    <w:semiHidden/>
    <w:rsid w:val="005C4986"/>
    <w:rPr>
      <w:rFonts w:ascii="Calibri Light" w:hAnsi="Calibri Light"/>
      <w:b/>
      <w:bCs/>
      <w:sz w:val="20"/>
      <w:szCs w:val="20"/>
    </w:rPr>
  </w:style>
  <w:style w:type="character" w:styleId="FollowedHyperlink">
    <w:name w:val="FollowedHyperlink"/>
    <w:basedOn w:val="DefaultParagraphFont"/>
    <w:uiPriority w:val="99"/>
    <w:semiHidden/>
    <w:unhideWhenUsed/>
    <w:rsid w:val="00243474"/>
    <w:rPr>
      <w:color w:val="954F72" w:themeColor="followedHyperlink"/>
      <w:u w:val="single"/>
    </w:rPr>
  </w:style>
  <w:style w:type="paragraph" w:styleId="Revision">
    <w:name w:val="Revision"/>
    <w:hidden/>
    <w:uiPriority w:val="99"/>
    <w:semiHidden/>
    <w:rsid w:val="00042591"/>
    <w:pPr>
      <w:spacing w:after="0" w:line="240" w:lineRule="auto"/>
      <w:jc w:val="left"/>
    </w:pPr>
    <w:rPr>
      <w:rFonts w:ascii="Calibri Light" w:hAnsi="Calibri Light"/>
    </w:rPr>
  </w:style>
  <w:style w:type="character" w:customStyle="1" w:styleId="Heading4Char">
    <w:name w:val="Heading 4 Char"/>
    <w:basedOn w:val="DefaultParagraphFont"/>
    <w:link w:val="Heading4"/>
    <w:uiPriority w:val="9"/>
    <w:rsid w:val="005A436A"/>
    <w:rPr>
      <w:rFonts w:asciiTheme="majorHAnsi" w:eastAsiaTheme="majorEastAsia" w:hAnsiTheme="majorHAnsi" w:cstheme="majorBidi"/>
      <w:i/>
      <w:iCs/>
      <w:color w:val="00205C" w:themeColor="accent1" w:themeShade="BF"/>
    </w:rPr>
  </w:style>
  <w:style w:type="character" w:styleId="Mention">
    <w:name w:val="Mention"/>
    <w:basedOn w:val="DefaultParagraphFont"/>
    <w:uiPriority w:val="99"/>
    <w:unhideWhenUsed/>
    <w:rsid w:val="00416785"/>
    <w:rPr>
      <w:color w:val="2B579A"/>
      <w:shd w:val="clear" w:color="auto" w:fill="E1DFDD"/>
    </w:rPr>
  </w:style>
  <w:style w:type="paragraph" w:styleId="NormalWeb">
    <w:name w:val="Normal (Web)"/>
    <w:basedOn w:val="Normal"/>
    <w:uiPriority w:val="99"/>
    <w:semiHidden/>
    <w:unhideWhenUsed/>
    <w:rsid w:val="00603D31"/>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832">
      <w:bodyDiv w:val="1"/>
      <w:marLeft w:val="0"/>
      <w:marRight w:val="0"/>
      <w:marTop w:val="0"/>
      <w:marBottom w:val="0"/>
      <w:divBdr>
        <w:top w:val="none" w:sz="0" w:space="0" w:color="auto"/>
        <w:left w:val="none" w:sz="0" w:space="0" w:color="auto"/>
        <w:bottom w:val="none" w:sz="0" w:space="0" w:color="auto"/>
        <w:right w:val="none" w:sz="0" w:space="0" w:color="auto"/>
      </w:divBdr>
    </w:div>
    <w:div w:id="7803833">
      <w:bodyDiv w:val="1"/>
      <w:marLeft w:val="0"/>
      <w:marRight w:val="0"/>
      <w:marTop w:val="0"/>
      <w:marBottom w:val="0"/>
      <w:divBdr>
        <w:top w:val="none" w:sz="0" w:space="0" w:color="auto"/>
        <w:left w:val="none" w:sz="0" w:space="0" w:color="auto"/>
        <w:bottom w:val="none" w:sz="0" w:space="0" w:color="auto"/>
        <w:right w:val="none" w:sz="0" w:space="0" w:color="auto"/>
      </w:divBdr>
    </w:div>
    <w:div w:id="16318643">
      <w:bodyDiv w:val="1"/>
      <w:marLeft w:val="0"/>
      <w:marRight w:val="0"/>
      <w:marTop w:val="0"/>
      <w:marBottom w:val="0"/>
      <w:divBdr>
        <w:top w:val="none" w:sz="0" w:space="0" w:color="auto"/>
        <w:left w:val="none" w:sz="0" w:space="0" w:color="auto"/>
        <w:bottom w:val="none" w:sz="0" w:space="0" w:color="auto"/>
        <w:right w:val="none" w:sz="0" w:space="0" w:color="auto"/>
      </w:divBdr>
    </w:div>
    <w:div w:id="35006930">
      <w:bodyDiv w:val="1"/>
      <w:marLeft w:val="0"/>
      <w:marRight w:val="0"/>
      <w:marTop w:val="0"/>
      <w:marBottom w:val="0"/>
      <w:divBdr>
        <w:top w:val="none" w:sz="0" w:space="0" w:color="auto"/>
        <w:left w:val="none" w:sz="0" w:space="0" w:color="auto"/>
        <w:bottom w:val="none" w:sz="0" w:space="0" w:color="auto"/>
        <w:right w:val="none" w:sz="0" w:space="0" w:color="auto"/>
      </w:divBdr>
    </w:div>
    <w:div w:id="39061087">
      <w:bodyDiv w:val="1"/>
      <w:marLeft w:val="0"/>
      <w:marRight w:val="0"/>
      <w:marTop w:val="0"/>
      <w:marBottom w:val="0"/>
      <w:divBdr>
        <w:top w:val="none" w:sz="0" w:space="0" w:color="auto"/>
        <w:left w:val="none" w:sz="0" w:space="0" w:color="auto"/>
        <w:bottom w:val="none" w:sz="0" w:space="0" w:color="auto"/>
        <w:right w:val="none" w:sz="0" w:space="0" w:color="auto"/>
      </w:divBdr>
    </w:div>
    <w:div w:id="136730315">
      <w:bodyDiv w:val="1"/>
      <w:marLeft w:val="0"/>
      <w:marRight w:val="0"/>
      <w:marTop w:val="0"/>
      <w:marBottom w:val="0"/>
      <w:divBdr>
        <w:top w:val="none" w:sz="0" w:space="0" w:color="auto"/>
        <w:left w:val="none" w:sz="0" w:space="0" w:color="auto"/>
        <w:bottom w:val="none" w:sz="0" w:space="0" w:color="auto"/>
        <w:right w:val="none" w:sz="0" w:space="0" w:color="auto"/>
      </w:divBdr>
    </w:div>
    <w:div w:id="228463036">
      <w:bodyDiv w:val="1"/>
      <w:marLeft w:val="0"/>
      <w:marRight w:val="0"/>
      <w:marTop w:val="0"/>
      <w:marBottom w:val="0"/>
      <w:divBdr>
        <w:top w:val="none" w:sz="0" w:space="0" w:color="auto"/>
        <w:left w:val="none" w:sz="0" w:space="0" w:color="auto"/>
        <w:bottom w:val="none" w:sz="0" w:space="0" w:color="auto"/>
        <w:right w:val="none" w:sz="0" w:space="0" w:color="auto"/>
      </w:divBdr>
    </w:div>
    <w:div w:id="324549668">
      <w:bodyDiv w:val="1"/>
      <w:marLeft w:val="0"/>
      <w:marRight w:val="0"/>
      <w:marTop w:val="0"/>
      <w:marBottom w:val="0"/>
      <w:divBdr>
        <w:top w:val="none" w:sz="0" w:space="0" w:color="auto"/>
        <w:left w:val="none" w:sz="0" w:space="0" w:color="auto"/>
        <w:bottom w:val="none" w:sz="0" w:space="0" w:color="auto"/>
        <w:right w:val="none" w:sz="0" w:space="0" w:color="auto"/>
      </w:divBdr>
    </w:div>
    <w:div w:id="337735091">
      <w:bodyDiv w:val="1"/>
      <w:marLeft w:val="0"/>
      <w:marRight w:val="0"/>
      <w:marTop w:val="0"/>
      <w:marBottom w:val="0"/>
      <w:divBdr>
        <w:top w:val="none" w:sz="0" w:space="0" w:color="auto"/>
        <w:left w:val="none" w:sz="0" w:space="0" w:color="auto"/>
        <w:bottom w:val="none" w:sz="0" w:space="0" w:color="auto"/>
        <w:right w:val="none" w:sz="0" w:space="0" w:color="auto"/>
      </w:divBdr>
    </w:div>
    <w:div w:id="478420600">
      <w:bodyDiv w:val="1"/>
      <w:marLeft w:val="0"/>
      <w:marRight w:val="0"/>
      <w:marTop w:val="0"/>
      <w:marBottom w:val="0"/>
      <w:divBdr>
        <w:top w:val="none" w:sz="0" w:space="0" w:color="auto"/>
        <w:left w:val="none" w:sz="0" w:space="0" w:color="auto"/>
        <w:bottom w:val="none" w:sz="0" w:space="0" w:color="auto"/>
        <w:right w:val="none" w:sz="0" w:space="0" w:color="auto"/>
      </w:divBdr>
    </w:div>
    <w:div w:id="515002672">
      <w:bodyDiv w:val="1"/>
      <w:marLeft w:val="0"/>
      <w:marRight w:val="0"/>
      <w:marTop w:val="0"/>
      <w:marBottom w:val="0"/>
      <w:divBdr>
        <w:top w:val="none" w:sz="0" w:space="0" w:color="auto"/>
        <w:left w:val="none" w:sz="0" w:space="0" w:color="auto"/>
        <w:bottom w:val="none" w:sz="0" w:space="0" w:color="auto"/>
        <w:right w:val="none" w:sz="0" w:space="0" w:color="auto"/>
      </w:divBdr>
    </w:div>
    <w:div w:id="529532098">
      <w:bodyDiv w:val="1"/>
      <w:marLeft w:val="0"/>
      <w:marRight w:val="0"/>
      <w:marTop w:val="0"/>
      <w:marBottom w:val="0"/>
      <w:divBdr>
        <w:top w:val="none" w:sz="0" w:space="0" w:color="auto"/>
        <w:left w:val="none" w:sz="0" w:space="0" w:color="auto"/>
        <w:bottom w:val="none" w:sz="0" w:space="0" w:color="auto"/>
        <w:right w:val="none" w:sz="0" w:space="0" w:color="auto"/>
      </w:divBdr>
    </w:div>
    <w:div w:id="637223427">
      <w:bodyDiv w:val="1"/>
      <w:marLeft w:val="0"/>
      <w:marRight w:val="0"/>
      <w:marTop w:val="0"/>
      <w:marBottom w:val="0"/>
      <w:divBdr>
        <w:top w:val="none" w:sz="0" w:space="0" w:color="auto"/>
        <w:left w:val="none" w:sz="0" w:space="0" w:color="auto"/>
        <w:bottom w:val="none" w:sz="0" w:space="0" w:color="auto"/>
        <w:right w:val="none" w:sz="0" w:space="0" w:color="auto"/>
      </w:divBdr>
    </w:div>
    <w:div w:id="657730804">
      <w:bodyDiv w:val="1"/>
      <w:marLeft w:val="0"/>
      <w:marRight w:val="0"/>
      <w:marTop w:val="0"/>
      <w:marBottom w:val="0"/>
      <w:divBdr>
        <w:top w:val="none" w:sz="0" w:space="0" w:color="auto"/>
        <w:left w:val="none" w:sz="0" w:space="0" w:color="auto"/>
        <w:bottom w:val="none" w:sz="0" w:space="0" w:color="auto"/>
        <w:right w:val="none" w:sz="0" w:space="0" w:color="auto"/>
      </w:divBdr>
    </w:div>
    <w:div w:id="784543177">
      <w:bodyDiv w:val="1"/>
      <w:marLeft w:val="0"/>
      <w:marRight w:val="0"/>
      <w:marTop w:val="0"/>
      <w:marBottom w:val="0"/>
      <w:divBdr>
        <w:top w:val="none" w:sz="0" w:space="0" w:color="auto"/>
        <w:left w:val="none" w:sz="0" w:space="0" w:color="auto"/>
        <w:bottom w:val="none" w:sz="0" w:space="0" w:color="auto"/>
        <w:right w:val="none" w:sz="0" w:space="0" w:color="auto"/>
      </w:divBdr>
    </w:div>
    <w:div w:id="807434427">
      <w:bodyDiv w:val="1"/>
      <w:marLeft w:val="0"/>
      <w:marRight w:val="0"/>
      <w:marTop w:val="0"/>
      <w:marBottom w:val="0"/>
      <w:divBdr>
        <w:top w:val="none" w:sz="0" w:space="0" w:color="auto"/>
        <w:left w:val="none" w:sz="0" w:space="0" w:color="auto"/>
        <w:bottom w:val="none" w:sz="0" w:space="0" w:color="auto"/>
        <w:right w:val="none" w:sz="0" w:space="0" w:color="auto"/>
      </w:divBdr>
    </w:div>
    <w:div w:id="825365780">
      <w:bodyDiv w:val="1"/>
      <w:marLeft w:val="0"/>
      <w:marRight w:val="0"/>
      <w:marTop w:val="0"/>
      <w:marBottom w:val="0"/>
      <w:divBdr>
        <w:top w:val="none" w:sz="0" w:space="0" w:color="auto"/>
        <w:left w:val="none" w:sz="0" w:space="0" w:color="auto"/>
        <w:bottom w:val="none" w:sz="0" w:space="0" w:color="auto"/>
        <w:right w:val="none" w:sz="0" w:space="0" w:color="auto"/>
      </w:divBdr>
    </w:div>
    <w:div w:id="849218762">
      <w:bodyDiv w:val="1"/>
      <w:marLeft w:val="0"/>
      <w:marRight w:val="0"/>
      <w:marTop w:val="0"/>
      <w:marBottom w:val="0"/>
      <w:divBdr>
        <w:top w:val="none" w:sz="0" w:space="0" w:color="auto"/>
        <w:left w:val="none" w:sz="0" w:space="0" w:color="auto"/>
        <w:bottom w:val="none" w:sz="0" w:space="0" w:color="auto"/>
        <w:right w:val="none" w:sz="0" w:space="0" w:color="auto"/>
      </w:divBdr>
    </w:div>
    <w:div w:id="920218431">
      <w:bodyDiv w:val="1"/>
      <w:marLeft w:val="0"/>
      <w:marRight w:val="0"/>
      <w:marTop w:val="0"/>
      <w:marBottom w:val="0"/>
      <w:divBdr>
        <w:top w:val="none" w:sz="0" w:space="0" w:color="auto"/>
        <w:left w:val="none" w:sz="0" w:space="0" w:color="auto"/>
        <w:bottom w:val="none" w:sz="0" w:space="0" w:color="auto"/>
        <w:right w:val="none" w:sz="0" w:space="0" w:color="auto"/>
      </w:divBdr>
    </w:div>
    <w:div w:id="1001391534">
      <w:bodyDiv w:val="1"/>
      <w:marLeft w:val="0"/>
      <w:marRight w:val="0"/>
      <w:marTop w:val="0"/>
      <w:marBottom w:val="0"/>
      <w:divBdr>
        <w:top w:val="none" w:sz="0" w:space="0" w:color="auto"/>
        <w:left w:val="none" w:sz="0" w:space="0" w:color="auto"/>
        <w:bottom w:val="none" w:sz="0" w:space="0" w:color="auto"/>
        <w:right w:val="none" w:sz="0" w:space="0" w:color="auto"/>
      </w:divBdr>
    </w:div>
    <w:div w:id="1001810319">
      <w:bodyDiv w:val="1"/>
      <w:marLeft w:val="0"/>
      <w:marRight w:val="0"/>
      <w:marTop w:val="0"/>
      <w:marBottom w:val="0"/>
      <w:divBdr>
        <w:top w:val="none" w:sz="0" w:space="0" w:color="auto"/>
        <w:left w:val="none" w:sz="0" w:space="0" w:color="auto"/>
        <w:bottom w:val="none" w:sz="0" w:space="0" w:color="auto"/>
        <w:right w:val="none" w:sz="0" w:space="0" w:color="auto"/>
      </w:divBdr>
    </w:div>
    <w:div w:id="1033532270">
      <w:bodyDiv w:val="1"/>
      <w:marLeft w:val="0"/>
      <w:marRight w:val="0"/>
      <w:marTop w:val="0"/>
      <w:marBottom w:val="0"/>
      <w:divBdr>
        <w:top w:val="none" w:sz="0" w:space="0" w:color="auto"/>
        <w:left w:val="none" w:sz="0" w:space="0" w:color="auto"/>
        <w:bottom w:val="none" w:sz="0" w:space="0" w:color="auto"/>
        <w:right w:val="none" w:sz="0" w:space="0" w:color="auto"/>
      </w:divBdr>
    </w:div>
    <w:div w:id="1073508783">
      <w:bodyDiv w:val="1"/>
      <w:marLeft w:val="0"/>
      <w:marRight w:val="0"/>
      <w:marTop w:val="0"/>
      <w:marBottom w:val="0"/>
      <w:divBdr>
        <w:top w:val="none" w:sz="0" w:space="0" w:color="auto"/>
        <w:left w:val="none" w:sz="0" w:space="0" w:color="auto"/>
        <w:bottom w:val="none" w:sz="0" w:space="0" w:color="auto"/>
        <w:right w:val="none" w:sz="0" w:space="0" w:color="auto"/>
      </w:divBdr>
    </w:div>
    <w:div w:id="1100104155">
      <w:bodyDiv w:val="1"/>
      <w:marLeft w:val="0"/>
      <w:marRight w:val="0"/>
      <w:marTop w:val="0"/>
      <w:marBottom w:val="0"/>
      <w:divBdr>
        <w:top w:val="none" w:sz="0" w:space="0" w:color="auto"/>
        <w:left w:val="none" w:sz="0" w:space="0" w:color="auto"/>
        <w:bottom w:val="none" w:sz="0" w:space="0" w:color="auto"/>
        <w:right w:val="none" w:sz="0" w:space="0" w:color="auto"/>
      </w:divBdr>
    </w:div>
    <w:div w:id="1212614973">
      <w:bodyDiv w:val="1"/>
      <w:marLeft w:val="0"/>
      <w:marRight w:val="0"/>
      <w:marTop w:val="0"/>
      <w:marBottom w:val="0"/>
      <w:divBdr>
        <w:top w:val="none" w:sz="0" w:space="0" w:color="auto"/>
        <w:left w:val="none" w:sz="0" w:space="0" w:color="auto"/>
        <w:bottom w:val="none" w:sz="0" w:space="0" w:color="auto"/>
        <w:right w:val="none" w:sz="0" w:space="0" w:color="auto"/>
      </w:divBdr>
    </w:div>
    <w:div w:id="1228757763">
      <w:bodyDiv w:val="1"/>
      <w:marLeft w:val="0"/>
      <w:marRight w:val="0"/>
      <w:marTop w:val="0"/>
      <w:marBottom w:val="0"/>
      <w:divBdr>
        <w:top w:val="none" w:sz="0" w:space="0" w:color="auto"/>
        <w:left w:val="none" w:sz="0" w:space="0" w:color="auto"/>
        <w:bottom w:val="none" w:sz="0" w:space="0" w:color="auto"/>
        <w:right w:val="none" w:sz="0" w:space="0" w:color="auto"/>
      </w:divBdr>
    </w:div>
    <w:div w:id="1357996730">
      <w:bodyDiv w:val="1"/>
      <w:marLeft w:val="0"/>
      <w:marRight w:val="0"/>
      <w:marTop w:val="0"/>
      <w:marBottom w:val="0"/>
      <w:divBdr>
        <w:top w:val="none" w:sz="0" w:space="0" w:color="auto"/>
        <w:left w:val="none" w:sz="0" w:space="0" w:color="auto"/>
        <w:bottom w:val="none" w:sz="0" w:space="0" w:color="auto"/>
        <w:right w:val="none" w:sz="0" w:space="0" w:color="auto"/>
      </w:divBdr>
    </w:div>
    <w:div w:id="1413165307">
      <w:bodyDiv w:val="1"/>
      <w:marLeft w:val="0"/>
      <w:marRight w:val="0"/>
      <w:marTop w:val="0"/>
      <w:marBottom w:val="0"/>
      <w:divBdr>
        <w:top w:val="none" w:sz="0" w:space="0" w:color="auto"/>
        <w:left w:val="none" w:sz="0" w:space="0" w:color="auto"/>
        <w:bottom w:val="none" w:sz="0" w:space="0" w:color="auto"/>
        <w:right w:val="none" w:sz="0" w:space="0" w:color="auto"/>
      </w:divBdr>
    </w:div>
    <w:div w:id="1452436311">
      <w:bodyDiv w:val="1"/>
      <w:marLeft w:val="0"/>
      <w:marRight w:val="0"/>
      <w:marTop w:val="0"/>
      <w:marBottom w:val="0"/>
      <w:divBdr>
        <w:top w:val="none" w:sz="0" w:space="0" w:color="auto"/>
        <w:left w:val="none" w:sz="0" w:space="0" w:color="auto"/>
        <w:bottom w:val="none" w:sz="0" w:space="0" w:color="auto"/>
        <w:right w:val="none" w:sz="0" w:space="0" w:color="auto"/>
      </w:divBdr>
    </w:div>
    <w:div w:id="1453091717">
      <w:bodyDiv w:val="1"/>
      <w:marLeft w:val="0"/>
      <w:marRight w:val="0"/>
      <w:marTop w:val="0"/>
      <w:marBottom w:val="0"/>
      <w:divBdr>
        <w:top w:val="none" w:sz="0" w:space="0" w:color="auto"/>
        <w:left w:val="none" w:sz="0" w:space="0" w:color="auto"/>
        <w:bottom w:val="none" w:sz="0" w:space="0" w:color="auto"/>
        <w:right w:val="none" w:sz="0" w:space="0" w:color="auto"/>
      </w:divBdr>
    </w:div>
    <w:div w:id="1464733382">
      <w:bodyDiv w:val="1"/>
      <w:marLeft w:val="0"/>
      <w:marRight w:val="0"/>
      <w:marTop w:val="0"/>
      <w:marBottom w:val="0"/>
      <w:divBdr>
        <w:top w:val="none" w:sz="0" w:space="0" w:color="auto"/>
        <w:left w:val="none" w:sz="0" w:space="0" w:color="auto"/>
        <w:bottom w:val="none" w:sz="0" w:space="0" w:color="auto"/>
        <w:right w:val="none" w:sz="0" w:space="0" w:color="auto"/>
      </w:divBdr>
    </w:div>
    <w:div w:id="1516577737">
      <w:bodyDiv w:val="1"/>
      <w:marLeft w:val="0"/>
      <w:marRight w:val="0"/>
      <w:marTop w:val="0"/>
      <w:marBottom w:val="0"/>
      <w:divBdr>
        <w:top w:val="none" w:sz="0" w:space="0" w:color="auto"/>
        <w:left w:val="none" w:sz="0" w:space="0" w:color="auto"/>
        <w:bottom w:val="none" w:sz="0" w:space="0" w:color="auto"/>
        <w:right w:val="none" w:sz="0" w:space="0" w:color="auto"/>
      </w:divBdr>
    </w:div>
    <w:div w:id="1543833773">
      <w:bodyDiv w:val="1"/>
      <w:marLeft w:val="0"/>
      <w:marRight w:val="0"/>
      <w:marTop w:val="0"/>
      <w:marBottom w:val="0"/>
      <w:divBdr>
        <w:top w:val="none" w:sz="0" w:space="0" w:color="auto"/>
        <w:left w:val="none" w:sz="0" w:space="0" w:color="auto"/>
        <w:bottom w:val="none" w:sz="0" w:space="0" w:color="auto"/>
        <w:right w:val="none" w:sz="0" w:space="0" w:color="auto"/>
      </w:divBdr>
    </w:div>
    <w:div w:id="1631470925">
      <w:bodyDiv w:val="1"/>
      <w:marLeft w:val="0"/>
      <w:marRight w:val="0"/>
      <w:marTop w:val="0"/>
      <w:marBottom w:val="0"/>
      <w:divBdr>
        <w:top w:val="none" w:sz="0" w:space="0" w:color="auto"/>
        <w:left w:val="none" w:sz="0" w:space="0" w:color="auto"/>
        <w:bottom w:val="none" w:sz="0" w:space="0" w:color="auto"/>
        <w:right w:val="none" w:sz="0" w:space="0" w:color="auto"/>
      </w:divBdr>
    </w:div>
    <w:div w:id="1703628174">
      <w:bodyDiv w:val="1"/>
      <w:marLeft w:val="0"/>
      <w:marRight w:val="0"/>
      <w:marTop w:val="0"/>
      <w:marBottom w:val="0"/>
      <w:divBdr>
        <w:top w:val="none" w:sz="0" w:space="0" w:color="auto"/>
        <w:left w:val="none" w:sz="0" w:space="0" w:color="auto"/>
        <w:bottom w:val="none" w:sz="0" w:space="0" w:color="auto"/>
        <w:right w:val="none" w:sz="0" w:space="0" w:color="auto"/>
      </w:divBdr>
    </w:div>
    <w:div w:id="1710760000">
      <w:bodyDiv w:val="1"/>
      <w:marLeft w:val="0"/>
      <w:marRight w:val="0"/>
      <w:marTop w:val="0"/>
      <w:marBottom w:val="0"/>
      <w:divBdr>
        <w:top w:val="none" w:sz="0" w:space="0" w:color="auto"/>
        <w:left w:val="none" w:sz="0" w:space="0" w:color="auto"/>
        <w:bottom w:val="none" w:sz="0" w:space="0" w:color="auto"/>
        <w:right w:val="none" w:sz="0" w:space="0" w:color="auto"/>
      </w:divBdr>
    </w:div>
    <w:div w:id="1725988460">
      <w:bodyDiv w:val="1"/>
      <w:marLeft w:val="0"/>
      <w:marRight w:val="0"/>
      <w:marTop w:val="0"/>
      <w:marBottom w:val="0"/>
      <w:divBdr>
        <w:top w:val="none" w:sz="0" w:space="0" w:color="auto"/>
        <w:left w:val="none" w:sz="0" w:space="0" w:color="auto"/>
        <w:bottom w:val="none" w:sz="0" w:space="0" w:color="auto"/>
        <w:right w:val="none" w:sz="0" w:space="0" w:color="auto"/>
      </w:divBdr>
    </w:div>
    <w:div w:id="1744064457">
      <w:bodyDiv w:val="1"/>
      <w:marLeft w:val="0"/>
      <w:marRight w:val="0"/>
      <w:marTop w:val="0"/>
      <w:marBottom w:val="0"/>
      <w:divBdr>
        <w:top w:val="none" w:sz="0" w:space="0" w:color="auto"/>
        <w:left w:val="none" w:sz="0" w:space="0" w:color="auto"/>
        <w:bottom w:val="none" w:sz="0" w:space="0" w:color="auto"/>
        <w:right w:val="none" w:sz="0" w:space="0" w:color="auto"/>
      </w:divBdr>
    </w:div>
    <w:div w:id="1758482956">
      <w:bodyDiv w:val="1"/>
      <w:marLeft w:val="0"/>
      <w:marRight w:val="0"/>
      <w:marTop w:val="0"/>
      <w:marBottom w:val="0"/>
      <w:divBdr>
        <w:top w:val="none" w:sz="0" w:space="0" w:color="auto"/>
        <w:left w:val="none" w:sz="0" w:space="0" w:color="auto"/>
        <w:bottom w:val="none" w:sz="0" w:space="0" w:color="auto"/>
        <w:right w:val="none" w:sz="0" w:space="0" w:color="auto"/>
      </w:divBdr>
    </w:div>
    <w:div w:id="1797675349">
      <w:bodyDiv w:val="1"/>
      <w:marLeft w:val="0"/>
      <w:marRight w:val="0"/>
      <w:marTop w:val="0"/>
      <w:marBottom w:val="0"/>
      <w:divBdr>
        <w:top w:val="none" w:sz="0" w:space="0" w:color="auto"/>
        <w:left w:val="none" w:sz="0" w:space="0" w:color="auto"/>
        <w:bottom w:val="none" w:sz="0" w:space="0" w:color="auto"/>
        <w:right w:val="none" w:sz="0" w:space="0" w:color="auto"/>
      </w:divBdr>
    </w:div>
    <w:div w:id="1848324453">
      <w:bodyDiv w:val="1"/>
      <w:marLeft w:val="0"/>
      <w:marRight w:val="0"/>
      <w:marTop w:val="0"/>
      <w:marBottom w:val="0"/>
      <w:divBdr>
        <w:top w:val="none" w:sz="0" w:space="0" w:color="auto"/>
        <w:left w:val="none" w:sz="0" w:space="0" w:color="auto"/>
        <w:bottom w:val="none" w:sz="0" w:space="0" w:color="auto"/>
        <w:right w:val="none" w:sz="0" w:space="0" w:color="auto"/>
      </w:divBdr>
    </w:div>
    <w:div w:id="1902934556">
      <w:bodyDiv w:val="1"/>
      <w:marLeft w:val="0"/>
      <w:marRight w:val="0"/>
      <w:marTop w:val="0"/>
      <w:marBottom w:val="0"/>
      <w:divBdr>
        <w:top w:val="none" w:sz="0" w:space="0" w:color="auto"/>
        <w:left w:val="none" w:sz="0" w:space="0" w:color="auto"/>
        <w:bottom w:val="none" w:sz="0" w:space="0" w:color="auto"/>
        <w:right w:val="none" w:sz="0" w:space="0" w:color="auto"/>
      </w:divBdr>
    </w:div>
    <w:div w:id="1996717783">
      <w:bodyDiv w:val="1"/>
      <w:marLeft w:val="0"/>
      <w:marRight w:val="0"/>
      <w:marTop w:val="0"/>
      <w:marBottom w:val="0"/>
      <w:divBdr>
        <w:top w:val="none" w:sz="0" w:space="0" w:color="auto"/>
        <w:left w:val="none" w:sz="0" w:space="0" w:color="auto"/>
        <w:bottom w:val="none" w:sz="0" w:space="0" w:color="auto"/>
        <w:right w:val="none" w:sz="0" w:space="0" w:color="auto"/>
      </w:divBdr>
    </w:div>
    <w:div w:id="2050061537">
      <w:bodyDiv w:val="1"/>
      <w:marLeft w:val="0"/>
      <w:marRight w:val="0"/>
      <w:marTop w:val="0"/>
      <w:marBottom w:val="0"/>
      <w:divBdr>
        <w:top w:val="none" w:sz="0" w:space="0" w:color="auto"/>
        <w:left w:val="none" w:sz="0" w:space="0" w:color="auto"/>
        <w:bottom w:val="none" w:sz="0" w:space="0" w:color="auto"/>
        <w:right w:val="none" w:sz="0" w:space="0" w:color="auto"/>
      </w:divBdr>
    </w:div>
    <w:div w:id="2090958154">
      <w:bodyDiv w:val="1"/>
      <w:marLeft w:val="0"/>
      <w:marRight w:val="0"/>
      <w:marTop w:val="0"/>
      <w:marBottom w:val="0"/>
      <w:divBdr>
        <w:top w:val="none" w:sz="0" w:space="0" w:color="auto"/>
        <w:left w:val="none" w:sz="0" w:space="0" w:color="auto"/>
        <w:bottom w:val="none" w:sz="0" w:space="0" w:color="auto"/>
        <w:right w:val="none" w:sz="0" w:space="0" w:color="auto"/>
      </w:divBdr>
    </w:div>
    <w:div w:id="2097745154">
      <w:bodyDiv w:val="1"/>
      <w:marLeft w:val="0"/>
      <w:marRight w:val="0"/>
      <w:marTop w:val="0"/>
      <w:marBottom w:val="0"/>
      <w:divBdr>
        <w:top w:val="none" w:sz="0" w:space="0" w:color="auto"/>
        <w:left w:val="none" w:sz="0" w:space="0" w:color="auto"/>
        <w:bottom w:val="none" w:sz="0" w:space="0" w:color="auto"/>
        <w:right w:val="none" w:sz="0" w:space="0" w:color="auto"/>
      </w:divBdr>
    </w:div>
    <w:div w:id="21360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osti.gov/biblio/6880640" TargetMode="External"/><Relationship Id="rId50" Type="http://schemas.openxmlformats.org/officeDocument/2006/relationships/hyperlink" Target="https://www.nwcouncil.org/reports/northwest-power-act/" TargetMode="External"/><Relationship Id="rId55"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neea.org/data/commercial-building-stock-assessments" TargetMode="External"/><Relationship Id="rId53" Type="http://schemas.openxmlformats.org/officeDocument/2006/relationships/image" Target="media/image29.png"/><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rtf.nwcouncil.org/measures/" TargetMode="External"/><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census.gov/programs-surveys/ac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nwcouncil.org/2021-power-plan-technical-information-and-data"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rtf.nwcouncil.org/about-rtf/conservation-achievements/2023/"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neea.org/data/residential-building-stock-assessment" TargetMode="External"/><Relationship Id="rId52" Type="http://schemas.openxmlformats.org/officeDocument/2006/relationships/image" Target="media/image28.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docs.puc.state.or.us/efdocs/HAU/um1893hau334281025.pdf" TargetMode="External"/><Relationship Id="rId3" Type="http://schemas.openxmlformats.org/officeDocument/2006/relationships/hyperlink" Target="https://app.leg.wa.gov/wac/default.aspx?cite=194-37-070" TargetMode="External"/><Relationship Id="rId7" Type="http://schemas.openxmlformats.org/officeDocument/2006/relationships/hyperlink" Target="https://www.pacificorp.com/energy/integrated-resource-plan/support.html" TargetMode="External"/><Relationship Id="rId2" Type="http://schemas.openxmlformats.org/officeDocument/2006/relationships/hyperlink" Target="https://eta-publications.lbl.gov/sites/default/files/lbnl-3960e-hrcp.pdf" TargetMode="External"/><Relationship Id="rId1" Type="http://schemas.openxmlformats.org/officeDocument/2006/relationships/hyperlink" Target="https://www.epa.gov/sites/production/files/2016-12/documents/social_cost_of_carbon_fact_sheet.pdf" TargetMode="External"/><Relationship Id="rId6" Type="http://schemas.openxmlformats.org/officeDocument/2006/relationships/hyperlink" Target="https://www.pse.com/-/media/PDFs/IRP/2023/electric/chapters/05_EPR23_Ch5_Final.pdf" TargetMode="External"/><Relationship Id="rId5" Type="http://schemas.openxmlformats.org/officeDocument/2006/relationships/hyperlink" Target="https://app.leg.wa.gov/wac/default.aspx?cite=194-40-330" TargetMode="External"/><Relationship Id="rId10" Type="http://schemas.openxmlformats.org/officeDocument/2006/relationships/hyperlink" Target="https://nwcouncil.app.box.com/s/m2877jpsigx2m3mv0u401wtfle0t5z8y" TargetMode="External"/><Relationship Id="rId4" Type="http://schemas.openxmlformats.org/officeDocument/2006/relationships/hyperlink" Target="https://app.leg.wa.gov/WAC/default.aspx?cite=194-40-100" TargetMode="External"/><Relationship Id="rId9" Type="http://schemas.openxmlformats.org/officeDocument/2006/relationships/hyperlink" Target="https://www.epa.gov/sites/production/files/2016-12/documents/social_cost_of_carbon_fact_sheet.pdf" TargetMode="External"/></Relationships>
</file>

<file path=word/theme/theme1.xml><?xml version="1.0" encoding="utf-8"?>
<a:theme xmlns:a="http://schemas.openxmlformats.org/drawingml/2006/main" name="Lighthouse Office Theme-v2">
  <a:themeElements>
    <a:clrScheme name="Custom 2">
      <a:dk1>
        <a:sysClr val="windowText" lastClr="000000"/>
      </a:dk1>
      <a:lt1>
        <a:sysClr val="window" lastClr="FFFFFF"/>
      </a:lt1>
      <a:dk2>
        <a:srgbClr val="44546A"/>
      </a:dk2>
      <a:lt2>
        <a:srgbClr val="E7E6E6"/>
      </a:lt2>
      <a:accent1>
        <a:srgbClr val="002C7C"/>
      </a:accent1>
      <a:accent2>
        <a:srgbClr val="27AAE1"/>
      </a:accent2>
      <a:accent3>
        <a:srgbClr val="EED31D"/>
      </a:accent3>
      <a:accent4>
        <a:srgbClr val="E26500"/>
      </a:accent4>
      <a:accent5>
        <a:srgbClr val="6F4421"/>
      </a:accent5>
      <a:accent6>
        <a:srgbClr val="007C6F"/>
      </a:accent6>
      <a:hlink>
        <a:srgbClr val="0563C1"/>
      </a:hlink>
      <a:folHlink>
        <a:srgbClr val="954F72"/>
      </a:folHlink>
    </a:clrScheme>
    <a:fontScheme name="Custom 1">
      <a:majorFont>
        <a:latin typeface="Aptos Display"/>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8A0AA65DC4A34BB23F38BF74412B8E" ma:contentTypeVersion="13" ma:contentTypeDescription="Create a new document." ma:contentTypeScope="" ma:versionID="f1183f7a03e3a6fa3d2b55edda027eba">
  <xsd:schema xmlns:xsd="http://www.w3.org/2001/XMLSchema" xmlns:xs="http://www.w3.org/2001/XMLSchema" xmlns:p="http://schemas.microsoft.com/office/2006/metadata/properties" xmlns:ns2="38f76e80-c9c1-43ee-8463-a9557fac9450" xmlns:ns3="2884014c-1649-45b0-9a1c-f2e5c6b81b41" targetNamespace="http://schemas.microsoft.com/office/2006/metadata/properties" ma:root="true" ma:fieldsID="e97d2016e81a285204b46e4a0d4d6e5e" ns2:_="" ns3:_="">
    <xsd:import namespace="38f76e80-c9c1-43ee-8463-a9557fac9450"/>
    <xsd:import namespace="2884014c-1649-45b0-9a1c-f2e5c6b81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76e80-c9c1-43ee-8463-a9557fac9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9b973fe-488e-4403-b3bd-9f0410efc9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84014c-1649-45b0-9a1c-f2e5c6b81b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8325ea-211b-48a8-ba37-8821d0556c28}" ma:internalName="TaxCatchAll" ma:showField="CatchAllData" ma:web="2884014c-1649-45b0-9a1c-f2e5c6b81b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f76e80-c9c1-43ee-8463-a9557fac9450">
      <Terms xmlns="http://schemas.microsoft.com/office/infopath/2007/PartnerControls"/>
    </lcf76f155ced4ddcb4097134ff3c332f>
    <TaxCatchAll xmlns="2884014c-1649-45b0-9a1c-f2e5c6b81b41" xsi:nil="true"/>
  </documentManagement>
</p:properties>
</file>

<file path=customXml/itemProps1.xml><?xml version="1.0" encoding="utf-8"?>
<ds:datastoreItem xmlns:ds="http://schemas.openxmlformats.org/officeDocument/2006/customXml" ds:itemID="{8AC4C0C6-E7CD-4F5F-B385-2D6B69138BF2}">
  <ds:schemaRefs>
    <ds:schemaRef ds:uri="http://schemas.microsoft.com/sharepoint/v3/contenttype/forms"/>
  </ds:schemaRefs>
</ds:datastoreItem>
</file>

<file path=customXml/itemProps2.xml><?xml version="1.0" encoding="utf-8"?>
<ds:datastoreItem xmlns:ds="http://schemas.openxmlformats.org/officeDocument/2006/customXml" ds:itemID="{F89D300C-2337-4824-B54F-589743B3B09C}">
  <ds:schemaRefs>
    <ds:schemaRef ds:uri="http://schemas.openxmlformats.org/officeDocument/2006/bibliography"/>
  </ds:schemaRefs>
</ds:datastoreItem>
</file>

<file path=customXml/itemProps3.xml><?xml version="1.0" encoding="utf-8"?>
<ds:datastoreItem xmlns:ds="http://schemas.openxmlformats.org/officeDocument/2006/customXml" ds:itemID="{887EF54C-AB8B-4E2D-9B39-288468729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76e80-c9c1-43ee-8463-a9557fac9450"/>
    <ds:schemaRef ds:uri="2884014c-1649-45b0-9a1c-f2e5c6b81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EAA01-B7F6-4102-B363-62C36A880924}">
  <ds:schemaRefs>
    <ds:schemaRef ds:uri="http://schemas.microsoft.com/office/2006/metadata/properties"/>
    <ds:schemaRef ds:uri="http://schemas.microsoft.com/office/infopath/2007/PartnerControls"/>
    <ds:schemaRef ds:uri="38f76e80-c9c1-43ee-8463-a9557fac9450"/>
    <ds:schemaRef ds:uri="2884014c-1649-45b0-9a1c-f2e5c6b81b41"/>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63</Pages>
  <Words>17918</Words>
  <Characters>102139</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2025 Conservation Potential Assessment</vt:lpstr>
    </vt:vector>
  </TitlesOfParts>
  <Company/>
  <LinksUpToDate>false</LinksUpToDate>
  <CharactersWithSpaces>119818</CharactersWithSpaces>
  <SharedDoc>false</SharedDoc>
  <HLinks>
    <vt:vector size="714" baseType="variant">
      <vt:variant>
        <vt:i4>2555943</vt:i4>
      </vt:variant>
      <vt:variant>
        <vt:i4>849</vt:i4>
      </vt:variant>
      <vt:variant>
        <vt:i4>0</vt:i4>
      </vt:variant>
      <vt:variant>
        <vt:i4>5</vt:i4>
      </vt:variant>
      <vt:variant>
        <vt:lpwstr>https://www.census.gov/programs-surveys/acs</vt:lpwstr>
      </vt:variant>
      <vt:variant>
        <vt:lpwstr/>
      </vt:variant>
      <vt:variant>
        <vt:i4>2883641</vt:i4>
      </vt:variant>
      <vt:variant>
        <vt:i4>846</vt:i4>
      </vt:variant>
      <vt:variant>
        <vt:i4>0</vt:i4>
      </vt:variant>
      <vt:variant>
        <vt:i4>5</vt:i4>
      </vt:variant>
      <vt:variant>
        <vt:lpwstr>https://www.nwcouncil.org/reports/northwest-power-act/</vt:lpwstr>
      </vt:variant>
      <vt:variant>
        <vt:lpwstr/>
      </vt:variant>
      <vt:variant>
        <vt:i4>7995489</vt:i4>
      </vt:variant>
      <vt:variant>
        <vt:i4>843</vt:i4>
      </vt:variant>
      <vt:variant>
        <vt:i4>0</vt:i4>
      </vt:variant>
      <vt:variant>
        <vt:i4>5</vt:i4>
      </vt:variant>
      <vt:variant>
        <vt:lpwstr>https://rtf.nwcouncil.org/about-rtf/conservation-achievements/2023/</vt:lpwstr>
      </vt:variant>
      <vt:variant>
        <vt:lpwstr/>
      </vt:variant>
      <vt:variant>
        <vt:i4>3145783</vt:i4>
      </vt:variant>
      <vt:variant>
        <vt:i4>840</vt:i4>
      </vt:variant>
      <vt:variant>
        <vt:i4>0</vt:i4>
      </vt:variant>
      <vt:variant>
        <vt:i4>5</vt:i4>
      </vt:variant>
      <vt:variant>
        <vt:lpwstr>https://rtf.nwcouncil.org/measures/</vt:lpwstr>
      </vt:variant>
      <vt:variant>
        <vt:lpwstr/>
      </vt:variant>
      <vt:variant>
        <vt:i4>3735655</vt:i4>
      </vt:variant>
      <vt:variant>
        <vt:i4>837</vt:i4>
      </vt:variant>
      <vt:variant>
        <vt:i4>0</vt:i4>
      </vt:variant>
      <vt:variant>
        <vt:i4>5</vt:i4>
      </vt:variant>
      <vt:variant>
        <vt:lpwstr>https://www.osti.gov/biblio/6880640</vt:lpwstr>
      </vt:variant>
      <vt:variant>
        <vt:lpwstr/>
      </vt:variant>
      <vt:variant>
        <vt:i4>6094927</vt:i4>
      </vt:variant>
      <vt:variant>
        <vt:i4>834</vt:i4>
      </vt:variant>
      <vt:variant>
        <vt:i4>0</vt:i4>
      </vt:variant>
      <vt:variant>
        <vt:i4>5</vt:i4>
      </vt:variant>
      <vt:variant>
        <vt:lpwstr>https://www.nwcouncil.org/2021-power-plan-technical-information-and-data</vt:lpwstr>
      </vt:variant>
      <vt:variant>
        <vt:lpwstr/>
      </vt:variant>
      <vt:variant>
        <vt:i4>3473534</vt:i4>
      </vt:variant>
      <vt:variant>
        <vt:i4>831</vt:i4>
      </vt:variant>
      <vt:variant>
        <vt:i4>0</vt:i4>
      </vt:variant>
      <vt:variant>
        <vt:i4>5</vt:i4>
      </vt:variant>
      <vt:variant>
        <vt:lpwstr>https://neea.org/data/commercial-building-stock-assessments</vt:lpwstr>
      </vt:variant>
      <vt:variant>
        <vt:lpwstr/>
      </vt:variant>
      <vt:variant>
        <vt:i4>7405600</vt:i4>
      </vt:variant>
      <vt:variant>
        <vt:i4>828</vt:i4>
      </vt:variant>
      <vt:variant>
        <vt:i4>0</vt:i4>
      </vt:variant>
      <vt:variant>
        <vt:i4>5</vt:i4>
      </vt:variant>
      <vt:variant>
        <vt:lpwstr>https://neea.org/data/residential-building-stock-assessment</vt:lpwstr>
      </vt:variant>
      <vt:variant>
        <vt:lpwstr/>
      </vt:variant>
      <vt:variant>
        <vt:i4>1245243</vt:i4>
      </vt:variant>
      <vt:variant>
        <vt:i4>620</vt:i4>
      </vt:variant>
      <vt:variant>
        <vt:i4>0</vt:i4>
      </vt:variant>
      <vt:variant>
        <vt:i4>5</vt:i4>
      </vt:variant>
      <vt:variant>
        <vt:lpwstr/>
      </vt:variant>
      <vt:variant>
        <vt:lpwstr>_Toc205899552</vt:lpwstr>
      </vt:variant>
      <vt:variant>
        <vt:i4>1245243</vt:i4>
      </vt:variant>
      <vt:variant>
        <vt:i4>614</vt:i4>
      </vt:variant>
      <vt:variant>
        <vt:i4>0</vt:i4>
      </vt:variant>
      <vt:variant>
        <vt:i4>5</vt:i4>
      </vt:variant>
      <vt:variant>
        <vt:lpwstr/>
      </vt:variant>
      <vt:variant>
        <vt:lpwstr>_Toc205899551</vt:lpwstr>
      </vt:variant>
      <vt:variant>
        <vt:i4>1245243</vt:i4>
      </vt:variant>
      <vt:variant>
        <vt:i4>608</vt:i4>
      </vt:variant>
      <vt:variant>
        <vt:i4>0</vt:i4>
      </vt:variant>
      <vt:variant>
        <vt:i4>5</vt:i4>
      </vt:variant>
      <vt:variant>
        <vt:lpwstr/>
      </vt:variant>
      <vt:variant>
        <vt:lpwstr>_Toc205899550</vt:lpwstr>
      </vt:variant>
      <vt:variant>
        <vt:i4>1179707</vt:i4>
      </vt:variant>
      <vt:variant>
        <vt:i4>602</vt:i4>
      </vt:variant>
      <vt:variant>
        <vt:i4>0</vt:i4>
      </vt:variant>
      <vt:variant>
        <vt:i4>5</vt:i4>
      </vt:variant>
      <vt:variant>
        <vt:lpwstr/>
      </vt:variant>
      <vt:variant>
        <vt:lpwstr>_Toc205899549</vt:lpwstr>
      </vt:variant>
      <vt:variant>
        <vt:i4>1179707</vt:i4>
      </vt:variant>
      <vt:variant>
        <vt:i4>596</vt:i4>
      </vt:variant>
      <vt:variant>
        <vt:i4>0</vt:i4>
      </vt:variant>
      <vt:variant>
        <vt:i4>5</vt:i4>
      </vt:variant>
      <vt:variant>
        <vt:lpwstr/>
      </vt:variant>
      <vt:variant>
        <vt:lpwstr>_Toc205899548</vt:lpwstr>
      </vt:variant>
      <vt:variant>
        <vt:i4>1179707</vt:i4>
      </vt:variant>
      <vt:variant>
        <vt:i4>590</vt:i4>
      </vt:variant>
      <vt:variant>
        <vt:i4>0</vt:i4>
      </vt:variant>
      <vt:variant>
        <vt:i4>5</vt:i4>
      </vt:variant>
      <vt:variant>
        <vt:lpwstr/>
      </vt:variant>
      <vt:variant>
        <vt:lpwstr>_Toc205899547</vt:lpwstr>
      </vt:variant>
      <vt:variant>
        <vt:i4>1179707</vt:i4>
      </vt:variant>
      <vt:variant>
        <vt:i4>584</vt:i4>
      </vt:variant>
      <vt:variant>
        <vt:i4>0</vt:i4>
      </vt:variant>
      <vt:variant>
        <vt:i4>5</vt:i4>
      </vt:variant>
      <vt:variant>
        <vt:lpwstr/>
      </vt:variant>
      <vt:variant>
        <vt:lpwstr>_Toc205899546</vt:lpwstr>
      </vt:variant>
      <vt:variant>
        <vt:i4>1179707</vt:i4>
      </vt:variant>
      <vt:variant>
        <vt:i4>578</vt:i4>
      </vt:variant>
      <vt:variant>
        <vt:i4>0</vt:i4>
      </vt:variant>
      <vt:variant>
        <vt:i4>5</vt:i4>
      </vt:variant>
      <vt:variant>
        <vt:lpwstr/>
      </vt:variant>
      <vt:variant>
        <vt:lpwstr>_Toc205899545</vt:lpwstr>
      </vt:variant>
      <vt:variant>
        <vt:i4>1179707</vt:i4>
      </vt:variant>
      <vt:variant>
        <vt:i4>572</vt:i4>
      </vt:variant>
      <vt:variant>
        <vt:i4>0</vt:i4>
      </vt:variant>
      <vt:variant>
        <vt:i4>5</vt:i4>
      </vt:variant>
      <vt:variant>
        <vt:lpwstr/>
      </vt:variant>
      <vt:variant>
        <vt:lpwstr>_Toc205899544</vt:lpwstr>
      </vt:variant>
      <vt:variant>
        <vt:i4>1179707</vt:i4>
      </vt:variant>
      <vt:variant>
        <vt:i4>566</vt:i4>
      </vt:variant>
      <vt:variant>
        <vt:i4>0</vt:i4>
      </vt:variant>
      <vt:variant>
        <vt:i4>5</vt:i4>
      </vt:variant>
      <vt:variant>
        <vt:lpwstr/>
      </vt:variant>
      <vt:variant>
        <vt:lpwstr>_Toc205899543</vt:lpwstr>
      </vt:variant>
      <vt:variant>
        <vt:i4>1179707</vt:i4>
      </vt:variant>
      <vt:variant>
        <vt:i4>560</vt:i4>
      </vt:variant>
      <vt:variant>
        <vt:i4>0</vt:i4>
      </vt:variant>
      <vt:variant>
        <vt:i4>5</vt:i4>
      </vt:variant>
      <vt:variant>
        <vt:lpwstr/>
      </vt:variant>
      <vt:variant>
        <vt:lpwstr>_Toc205899542</vt:lpwstr>
      </vt:variant>
      <vt:variant>
        <vt:i4>1179707</vt:i4>
      </vt:variant>
      <vt:variant>
        <vt:i4>554</vt:i4>
      </vt:variant>
      <vt:variant>
        <vt:i4>0</vt:i4>
      </vt:variant>
      <vt:variant>
        <vt:i4>5</vt:i4>
      </vt:variant>
      <vt:variant>
        <vt:lpwstr/>
      </vt:variant>
      <vt:variant>
        <vt:lpwstr>_Toc205899541</vt:lpwstr>
      </vt:variant>
      <vt:variant>
        <vt:i4>1179707</vt:i4>
      </vt:variant>
      <vt:variant>
        <vt:i4>548</vt:i4>
      </vt:variant>
      <vt:variant>
        <vt:i4>0</vt:i4>
      </vt:variant>
      <vt:variant>
        <vt:i4>5</vt:i4>
      </vt:variant>
      <vt:variant>
        <vt:lpwstr/>
      </vt:variant>
      <vt:variant>
        <vt:lpwstr>_Toc205899540</vt:lpwstr>
      </vt:variant>
      <vt:variant>
        <vt:i4>1376315</vt:i4>
      </vt:variant>
      <vt:variant>
        <vt:i4>542</vt:i4>
      </vt:variant>
      <vt:variant>
        <vt:i4>0</vt:i4>
      </vt:variant>
      <vt:variant>
        <vt:i4>5</vt:i4>
      </vt:variant>
      <vt:variant>
        <vt:lpwstr/>
      </vt:variant>
      <vt:variant>
        <vt:lpwstr>_Toc205899539</vt:lpwstr>
      </vt:variant>
      <vt:variant>
        <vt:i4>1376315</vt:i4>
      </vt:variant>
      <vt:variant>
        <vt:i4>536</vt:i4>
      </vt:variant>
      <vt:variant>
        <vt:i4>0</vt:i4>
      </vt:variant>
      <vt:variant>
        <vt:i4>5</vt:i4>
      </vt:variant>
      <vt:variant>
        <vt:lpwstr/>
      </vt:variant>
      <vt:variant>
        <vt:lpwstr>_Toc205899538</vt:lpwstr>
      </vt:variant>
      <vt:variant>
        <vt:i4>1376315</vt:i4>
      </vt:variant>
      <vt:variant>
        <vt:i4>530</vt:i4>
      </vt:variant>
      <vt:variant>
        <vt:i4>0</vt:i4>
      </vt:variant>
      <vt:variant>
        <vt:i4>5</vt:i4>
      </vt:variant>
      <vt:variant>
        <vt:lpwstr/>
      </vt:variant>
      <vt:variant>
        <vt:lpwstr>_Toc205899537</vt:lpwstr>
      </vt:variant>
      <vt:variant>
        <vt:i4>1376315</vt:i4>
      </vt:variant>
      <vt:variant>
        <vt:i4>524</vt:i4>
      </vt:variant>
      <vt:variant>
        <vt:i4>0</vt:i4>
      </vt:variant>
      <vt:variant>
        <vt:i4>5</vt:i4>
      </vt:variant>
      <vt:variant>
        <vt:lpwstr/>
      </vt:variant>
      <vt:variant>
        <vt:lpwstr>_Toc205899536</vt:lpwstr>
      </vt:variant>
      <vt:variant>
        <vt:i4>1376315</vt:i4>
      </vt:variant>
      <vt:variant>
        <vt:i4>518</vt:i4>
      </vt:variant>
      <vt:variant>
        <vt:i4>0</vt:i4>
      </vt:variant>
      <vt:variant>
        <vt:i4>5</vt:i4>
      </vt:variant>
      <vt:variant>
        <vt:lpwstr/>
      </vt:variant>
      <vt:variant>
        <vt:lpwstr>_Toc205899535</vt:lpwstr>
      </vt:variant>
      <vt:variant>
        <vt:i4>1376315</vt:i4>
      </vt:variant>
      <vt:variant>
        <vt:i4>512</vt:i4>
      </vt:variant>
      <vt:variant>
        <vt:i4>0</vt:i4>
      </vt:variant>
      <vt:variant>
        <vt:i4>5</vt:i4>
      </vt:variant>
      <vt:variant>
        <vt:lpwstr/>
      </vt:variant>
      <vt:variant>
        <vt:lpwstr>_Toc205899534</vt:lpwstr>
      </vt:variant>
      <vt:variant>
        <vt:i4>1376315</vt:i4>
      </vt:variant>
      <vt:variant>
        <vt:i4>506</vt:i4>
      </vt:variant>
      <vt:variant>
        <vt:i4>0</vt:i4>
      </vt:variant>
      <vt:variant>
        <vt:i4>5</vt:i4>
      </vt:variant>
      <vt:variant>
        <vt:lpwstr/>
      </vt:variant>
      <vt:variant>
        <vt:lpwstr>_Toc205899533</vt:lpwstr>
      </vt:variant>
      <vt:variant>
        <vt:i4>1376315</vt:i4>
      </vt:variant>
      <vt:variant>
        <vt:i4>500</vt:i4>
      </vt:variant>
      <vt:variant>
        <vt:i4>0</vt:i4>
      </vt:variant>
      <vt:variant>
        <vt:i4>5</vt:i4>
      </vt:variant>
      <vt:variant>
        <vt:lpwstr/>
      </vt:variant>
      <vt:variant>
        <vt:lpwstr>_Toc205899532</vt:lpwstr>
      </vt:variant>
      <vt:variant>
        <vt:i4>1376315</vt:i4>
      </vt:variant>
      <vt:variant>
        <vt:i4>494</vt:i4>
      </vt:variant>
      <vt:variant>
        <vt:i4>0</vt:i4>
      </vt:variant>
      <vt:variant>
        <vt:i4>5</vt:i4>
      </vt:variant>
      <vt:variant>
        <vt:lpwstr/>
      </vt:variant>
      <vt:variant>
        <vt:lpwstr>_Toc205899531</vt:lpwstr>
      </vt:variant>
      <vt:variant>
        <vt:i4>1376315</vt:i4>
      </vt:variant>
      <vt:variant>
        <vt:i4>488</vt:i4>
      </vt:variant>
      <vt:variant>
        <vt:i4>0</vt:i4>
      </vt:variant>
      <vt:variant>
        <vt:i4>5</vt:i4>
      </vt:variant>
      <vt:variant>
        <vt:lpwstr/>
      </vt:variant>
      <vt:variant>
        <vt:lpwstr>_Toc205899530</vt:lpwstr>
      </vt:variant>
      <vt:variant>
        <vt:i4>1310779</vt:i4>
      </vt:variant>
      <vt:variant>
        <vt:i4>482</vt:i4>
      </vt:variant>
      <vt:variant>
        <vt:i4>0</vt:i4>
      </vt:variant>
      <vt:variant>
        <vt:i4>5</vt:i4>
      </vt:variant>
      <vt:variant>
        <vt:lpwstr/>
      </vt:variant>
      <vt:variant>
        <vt:lpwstr>_Toc205899529</vt:lpwstr>
      </vt:variant>
      <vt:variant>
        <vt:i4>1310779</vt:i4>
      </vt:variant>
      <vt:variant>
        <vt:i4>476</vt:i4>
      </vt:variant>
      <vt:variant>
        <vt:i4>0</vt:i4>
      </vt:variant>
      <vt:variant>
        <vt:i4>5</vt:i4>
      </vt:variant>
      <vt:variant>
        <vt:lpwstr/>
      </vt:variant>
      <vt:variant>
        <vt:lpwstr>_Toc205899528</vt:lpwstr>
      </vt:variant>
      <vt:variant>
        <vt:i4>1310779</vt:i4>
      </vt:variant>
      <vt:variant>
        <vt:i4>467</vt:i4>
      </vt:variant>
      <vt:variant>
        <vt:i4>0</vt:i4>
      </vt:variant>
      <vt:variant>
        <vt:i4>5</vt:i4>
      </vt:variant>
      <vt:variant>
        <vt:lpwstr/>
      </vt:variant>
      <vt:variant>
        <vt:lpwstr>_Toc205899527</vt:lpwstr>
      </vt:variant>
      <vt:variant>
        <vt:i4>1310779</vt:i4>
      </vt:variant>
      <vt:variant>
        <vt:i4>461</vt:i4>
      </vt:variant>
      <vt:variant>
        <vt:i4>0</vt:i4>
      </vt:variant>
      <vt:variant>
        <vt:i4>5</vt:i4>
      </vt:variant>
      <vt:variant>
        <vt:lpwstr/>
      </vt:variant>
      <vt:variant>
        <vt:lpwstr>_Toc205899526</vt:lpwstr>
      </vt:variant>
      <vt:variant>
        <vt:i4>1310779</vt:i4>
      </vt:variant>
      <vt:variant>
        <vt:i4>455</vt:i4>
      </vt:variant>
      <vt:variant>
        <vt:i4>0</vt:i4>
      </vt:variant>
      <vt:variant>
        <vt:i4>5</vt:i4>
      </vt:variant>
      <vt:variant>
        <vt:lpwstr/>
      </vt:variant>
      <vt:variant>
        <vt:lpwstr>_Toc205899525</vt:lpwstr>
      </vt:variant>
      <vt:variant>
        <vt:i4>1310779</vt:i4>
      </vt:variant>
      <vt:variant>
        <vt:i4>449</vt:i4>
      </vt:variant>
      <vt:variant>
        <vt:i4>0</vt:i4>
      </vt:variant>
      <vt:variant>
        <vt:i4>5</vt:i4>
      </vt:variant>
      <vt:variant>
        <vt:lpwstr/>
      </vt:variant>
      <vt:variant>
        <vt:lpwstr>_Toc205899524</vt:lpwstr>
      </vt:variant>
      <vt:variant>
        <vt:i4>1310779</vt:i4>
      </vt:variant>
      <vt:variant>
        <vt:i4>443</vt:i4>
      </vt:variant>
      <vt:variant>
        <vt:i4>0</vt:i4>
      </vt:variant>
      <vt:variant>
        <vt:i4>5</vt:i4>
      </vt:variant>
      <vt:variant>
        <vt:lpwstr/>
      </vt:variant>
      <vt:variant>
        <vt:lpwstr>_Toc205899523</vt:lpwstr>
      </vt:variant>
      <vt:variant>
        <vt:i4>1310779</vt:i4>
      </vt:variant>
      <vt:variant>
        <vt:i4>437</vt:i4>
      </vt:variant>
      <vt:variant>
        <vt:i4>0</vt:i4>
      </vt:variant>
      <vt:variant>
        <vt:i4>5</vt:i4>
      </vt:variant>
      <vt:variant>
        <vt:lpwstr/>
      </vt:variant>
      <vt:variant>
        <vt:lpwstr>_Toc205899522</vt:lpwstr>
      </vt:variant>
      <vt:variant>
        <vt:i4>1310779</vt:i4>
      </vt:variant>
      <vt:variant>
        <vt:i4>431</vt:i4>
      </vt:variant>
      <vt:variant>
        <vt:i4>0</vt:i4>
      </vt:variant>
      <vt:variant>
        <vt:i4>5</vt:i4>
      </vt:variant>
      <vt:variant>
        <vt:lpwstr/>
      </vt:variant>
      <vt:variant>
        <vt:lpwstr>_Toc205899521</vt:lpwstr>
      </vt:variant>
      <vt:variant>
        <vt:i4>1310779</vt:i4>
      </vt:variant>
      <vt:variant>
        <vt:i4>425</vt:i4>
      </vt:variant>
      <vt:variant>
        <vt:i4>0</vt:i4>
      </vt:variant>
      <vt:variant>
        <vt:i4>5</vt:i4>
      </vt:variant>
      <vt:variant>
        <vt:lpwstr/>
      </vt:variant>
      <vt:variant>
        <vt:lpwstr>_Toc205899520</vt:lpwstr>
      </vt:variant>
      <vt:variant>
        <vt:i4>1507387</vt:i4>
      </vt:variant>
      <vt:variant>
        <vt:i4>419</vt:i4>
      </vt:variant>
      <vt:variant>
        <vt:i4>0</vt:i4>
      </vt:variant>
      <vt:variant>
        <vt:i4>5</vt:i4>
      </vt:variant>
      <vt:variant>
        <vt:lpwstr/>
      </vt:variant>
      <vt:variant>
        <vt:lpwstr>_Toc205899519</vt:lpwstr>
      </vt:variant>
      <vt:variant>
        <vt:i4>1507387</vt:i4>
      </vt:variant>
      <vt:variant>
        <vt:i4>413</vt:i4>
      </vt:variant>
      <vt:variant>
        <vt:i4>0</vt:i4>
      </vt:variant>
      <vt:variant>
        <vt:i4>5</vt:i4>
      </vt:variant>
      <vt:variant>
        <vt:lpwstr/>
      </vt:variant>
      <vt:variant>
        <vt:lpwstr>_Toc205899518</vt:lpwstr>
      </vt:variant>
      <vt:variant>
        <vt:i4>1507387</vt:i4>
      </vt:variant>
      <vt:variant>
        <vt:i4>407</vt:i4>
      </vt:variant>
      <vt:variant>
        <vt:i4>0</vt:i4>
      </vt:variant>
      <vt:variant>
        <vt:i4>5</vt:i4>
      </vt:variant>
      <vt:variant>
        <vt:lpwstr/>
      </vt:variant>
      <vt:variant>
        <vt:lpwstr>_Toc205899517</vt:lpwstr>
      </vt:variant>
      <vt:variant>
        <vt:i4>1507387</vt:i4>
      </vt:variant>
      <vt:variant>
        <vt:i4>401</vt:i4>
      </vt:variant>
      <vt:variant>
        <vt:i4>0</vt:i4>
      </vt:variant>
      <vt:variant>
        <vt:i4>5</vt:i4>
      </vt:variant>
      <vt:variant>
        <vt:lpwstr/>
      </vt:variant>
      <vt:variant>
        <vt:lpwstr>_Toc205899516</vt:lpwstr>
      </vt:variant>
      <vt:variant>
        <vt:i4>1507387</vt:i4>
      </vt:variant>
      <vt:variant>
        <vt:i4>395</vt:i4>
      </vt:variant>
      <vt:variant>
        <vt:i4>0</vt:i4>
      </vt:variant>
      <vt:variant>
        <vt:i4>5</vt:i4>
      </vt:variant>
      <vt:variant>
        <vt:lpwstr/>
      </vt:variant>
      <vt:variant>
        <vt:lpwstr>_Toc205899515</vt:lpwstr>
      </vt:variant>
      <vt:variant>
        <vt:i4>1507387</vt:i4>
      </vt:variant>
      <vt:variant>
        <vt:i4>389</vt:i4>
      </vt:variant>
      <vt:variant>
        <vt:i4>0</vt:i4>
      </vt:variant>
      <vt:variant>
        <vt:i4>5</vt:i4>
      </vt:variant>
      <vt:variant>
        <vt:lpwstr/>
      </vt:variant>
      <vt:variant>
        <vt:lpwstr>_Toc205899514</vt:lpwstr>
      </vt:variant>
      <vt:variant>
        <vt:i4>1507387</vt:i4>
      </vt:variant>
      <vt:variant>
        <vt:i4>383</vt:i4>
      </vt:variant>
      <vt:variant>
        <vt:i4>0</vt:i4>
      </vt:variant>
      <vt:variant>
        <vt:i4>5</vt:i4>
      </vt:variant>
      <vt:variant>
        <vt:lpwstr/>
      </vt:variant>
      <vt:variant>
        <vt:lpwstr>_Toc205899513</vt:lpwstr>
      </vt:variant>
      <vt:variant>
        <vt:i4>1507387</vt:i4>
      </vt:variant>
      <vt:variant>
        <vt:i4>377</vt:i4>
      </vt:variant>
      <vt:variant>
        <vt:i4>0</vt:i4>
      </vt:variant>
      <vt:variant>
        <vt:i4>5</vt:i4>
      </vt:variant>
      <vt:variant>
        <vt:lpwstr/>
      </vt:variant>
      <vt:variant>
        <vt:lpwstr>_Toc205899512</vt:lpwstr>
      </vt:variant>
      <vt:variant>
        <vt:i4>1507387</vt:i4>
      </vt:variant>
      <vt:variant>
        <vt:i4>371</vt:i4>
      </vt:variant>
      <vt:variant>
        <vt:i4>0</vt:i4>
      </vt:variant>
      <vt:variant>
        <vt:i4>5</vt:i4>
      </vt:variant>
      <vt:variant>
        <vt:lpwstr/>
      </vt:variant>
      <vt:variant>
        <vt:lpwstr>_Toc205899511</vt:lpwstr>
      </vt:variant>
      <vt:variant>
        <vt:i4>1507387</vt:i4>
      </vt:variant>
      <vt:variant>
        <vt:i4>365</vt:i4>
      </vt:variant>
      <vt:variant>
        <vt:i4>0</vt:i4>
      </vt:variant>
      <vt:variant>
        <vt:i4>5</vt:i4>
      </vt:variant>
      <vt:variant>
        <vt:lpwstr/>
      </vt:variant>
      <vt:variant>
        <vt:lpwstr>_Toc205899510</vt:lpwstr>
      </vt:variant>
      <vt:variant>
        <vt:i4>1441851</vt:i4>
      </vt:variant>
      <vt:variant>
        <vt:i4>359</vt:i4>
      </vt:variant>
      <vt:variant>
        <vt:i4>0</vt:i4>
      </vt:variant>
      <vt:variant>
        <vt:i4>5</vt:i4>
      </vt:variant>
      <vt:variant>
        <vt:lpwstr/>
      </vt:variant>
      <vt:variant>
        <vt:lpwstr>_Toc205899509</vt:lpwstr>
      </vt:variant>
      <vt:variant>
        <vt:i4>1441851</vt:i4>
      </vt:variant>
      <vt:variant>
        <vt:i4>353</vt:i4>
      </vt:variant>
      <vt:variant>
        <vt:i4>0</vt:i4>
      </vt:variant>
      <vt:variant>
        <vt:i4>5</vt:i4>
      </vt:variant>
      <vt:variant>
        <vt:lpwstr/>
      </vt:variant>
      <vt:variant>
        <vt:lpwstr>_Toc205899508</vt:lpwstr>
      </vt:variant>
      <vt:variant>
        <vt:i4>1441851</vt:i4>
      </vt:variant>
      <vt:variant>
        <vt:i4>347</vt:i4>
      </vt:variant>
      <vt:variant>
        <vt:i4>0</vt:i4>
      </vt:variant>
      <vt:variant>
        <vt:i4>5</vt:i4>
      </vt:variant>
      <vt:variant>
        <vt:lpwstr/>
      </vt:variant>
      <vt:variant>
        <vt:lpwstr>_Toc205899507</vt:lpwstr>
      </vt:variant>
      <vt:variant>
        <vt:i4>1441851</vt:i4>
      </vt:variant>
      <vt:variant>
        <vt:i4>341</vt:i4>
      </vt:variant>
      <vt:variant>
        <vt:i4>0</vt:i4>
      </vt:variant>
      <vt:variant>
        <vt:i4>5</vt:i4>
      </vt:variant>
      <vt:variant>
        <vt:lpwstr/>
      </vt:variant>
      <vt:variant>
        <vt:lpwstr>_Toc205899506</vt:lpwstr>
      </vt:variant>
      <vt:variant>
        <vt:i4>1441851</vt:i4>
      </vt:variant>
      <vt:variant>
        <vt:i4>335</vt:i4>
      </vt:variant>
      <vt:variant>
        <vt:i4>0</vt:i4>
      </vt:variant>
      <vt:variant>
        <vt:i4>5</vt:i4>
      </vt:variant>
      <vt:variant>
        <vt:lpwstr/>
      </vt:variant>
      <vt:variant>
        <vt:lpwstr>_Toc205899505</vt:lpwstr>
      </vt:variant>
      <vt:variant>
        <vt:i4>1441851</vt:i4>
      </vt:variant>
      <vt:variant>
        <vt:i4>329</vt:i4>
      </vt:variant>
      <vt:variant>
        <vt:i4>0</vt:i4>
      </vt:variant>
      <vt:variant>
        <vt:i4>5</vt:i4>
      </vt:variant>
      <vt:variant>
        <vt:lpwstr/>
      </vt:variant>
      <vt:variant>
        <vt:lpwstr>_Toc205899504</vt:lpwstr>
      </vt:variant>
      <vt:variant>
        <vt:i4>1441851</vt:i4>
      </vt:variant>
      <vt:variant>
        <vt:i4>323</vt:i4>
      </vt:variant>
      <vt:variant>
        <vt:i4>0</vt:i4>
      </vt:variant>
      <vt:variant>
        <vt:i4>5</vt:i4>
      </vt:variant>
      <vt:variant>
        <vt:lpwstr/>
      </vt:variant>
      <vt:variant>
        <vt:lpwstr>_Toc205899503</vt:lpwstr>
      </vt:variant>
      <vt:variant>
        <vt:i4>1441851</vt:i4>
      </vt:variant>
      <vt:variant>
        <vt:i4>314</vt:i4>
      </vt:variant>
      <vt:variant>
        <vt:i4>0</vt:i4>
      </vt:variant>
      <vt:variant>
        <vt:i4>5</vt:i4>
      </vt:variant>
      <vt:variant>
        <vt:lpwstr/>
      </vt:variant>
      <vt:variant>
        <vt:lpwstr>_Toc205899502</vt:lpwstr>
      </vt:variant>
      <vt:variant>
        <vt:i4>1441851</vt:i4>
      </vt:variant>
      <vt:variant>
        <vt:i4>308</vt:i4>
      </vt:variant>
      <vt:variant>
        <vt:i4>0</vt:i4>
      </vt:variant>
      <vt:variant>
        <vt:i4>5</vt:i4>
      </vt:variant>
      <vt:variant>
        <vt:lpwstr/>
      </vt:variant>
      <vt:variant>
        <vt:lpwstr>_Toc205899501</vt:lpwstr>
      </vt:variant>
      <vt:variant>
        <vt:i4>1441851</vt:i4>
      </vt:variant>
      <vt:variant>
        <vt:i4>302</vt:i4>
      </vt:variant>
      <vt:variant>
        <vt:i4>0</vt:i4>
      </vt:variant>
      <vt:variant>
        <vt:i4>5</vt:i4>
      </vt:variant>
      <vt:variant>
        <vt:lpwstr/>
      </vt:variant>
      <vt:variant>
        <vt:lpwstr>_Toc205899500</vt:lpwstr>
      </vt:variant>
      <vt:variant>
        <vt:i4>2031674</vt:i4>
      </vt:variant>
      <vt:variant>
        <vt:i4>296</vt:i4>
      </vt:variant>
      <vt:variant>
        <vt:i4>0</vt:i4>
      </vt:variant>
      <vt:variant>
        <vt:i4>5</vt:i4>
      </vt:variant>
      <vt:variant>
        <vt:lpwstr/>
      </vt:variant>
      <vt:variant>
        <vt:lpwstr>_Toc205899499</vt:lpwstr>
      </vt:variant>
      <vt:variant>
        <vt:i4>2031674</vt:i4>
      </vt:variant>
      <vt:variant>
        <vt:i4>290</vt:i4>
      </vt:variant>
      <vt:variant>
        <vt:i4>0</vt:i4>
      </vt:variant>
      <vt:variant>
        <vt:i4>5</vt:i4>
      </vt:variant>
      <vt:variant>
        <vt:lpwstr/>
      </vt:variant>
      <vt:variant>
        <vt:lpwstr>_Toc205899498</vt:lpwstr>
      </vt:variant>
      <vt:variant>
        <vt:i4>2031674</vt:i4>
      </vt:variant>
      <vt:variant>
        <vt:i4>284</vt:i4>
      </vt:variant>
      <vt:variant>
        <vt:i4>0</vt:i4>
      </vt:variant>
      <vt:variant>
        <vt:i4>5</vt:i4>
      </vt:variant>
      <vt:variant>
        <vt:lpwstr/>
      </vt:variant>
      <vt:variant>
        <vt:lpwstr>_Toc205899497</vt:lpwstr>
      </vt:variant>
      <vt:variant>
        <vt:i4>2031674</vt:i4>
      </vt:variant>
      <vt:variant>
        <vt:i4>278</vt:i4>
      </vt:variant>
      <vt:variant>
        <vt:i4>0</vt:i4>
      </vt:variant>
      <vt:variant>
        <vt:i4>5</vt:i4>
      </vt:variant>
      <vt:variant>
        <vt:lpwstr/>
      </vt:variant>
      <vt:variant>
        <vt:lpwstr>_Toc205899496</vt:lpwstr>
      </vt:variant>
      <vt:variant>
        <vt:i4>2031674</vt:i4>
      </vt:variant>
      <vt:variant>
        <vt:i4>272</vt:i4>
      </vt:variant>
      <vt:variant>
        <vt:i4>0</vt:i4>
      </vt:variant>
      <vt:variant>
        <vt:i4>5</vt:i4>
      </vt:variant>
      <vt:variant>
        <vt:lpwstr/>
      </vt:variant>
      <vt:variant>
        <vt:lpwstr>_Toc205899495</vt:lpwstr>
      </vt:variant>
      <vt:variant>
        <vt:i4>2031674</vt:i4>
      </vt:variant>
      <vt:variant>
        <vt:i4>266</vt:i4>
      </vt:variant>
      <vt:variant>
        <vt:i4>0</vt:i4>
      </vt:variant>
      <vt:variant>
        <vt:i4>5</vt:i4>
      </vt:variant>
      <vt:variant>
        <vt:lpwstr/>
      </vt:variant>
      <vt:variant>
        <vt:lpwstr>_Toc205899494</vt:lpwstr>
      </vt:variant>
      <vt:variant>
        <vt:i4>2031674</vt:i4>
      </vt:variant>
      <vt:variant>
        <vt:i4>260</vt:i4>
      </vt:variant>
      <vt:variant>
        <vt:i4>0</vt:i4>
      </vt:variant>
      <vt:variant>
        <vt:i4>5</vt:i4>
      </vt:variant>
      <vt:variant>
        <vt:lpwstr/>
      </vt:variant>
      <vt:variant>
        <vt:lpwstr>_Toc205899493</vt:lpwstr>
      </vt:variant>
      <vt:variant>
        <vt:i4>2031674</vt:i4>
      </vt:variant>
      <vt:variant>
        <vt:i4>254</vt:i4>
      </vt:variant>
      <vt:variant>
        <vt:i4>0</vt:i4>
      </vt:variant>
      <vt:variant>
        <vt:i4>5</vt:i4>
      </vt:variant>
      <vt:variant>
        <vt:lpwstr/>
      </vt:variant>
      <vt:variant>
        <vt:lpwstr>_Toc205899492</vt:lpwstr>
      </vt:variant>
      <vt:variant>
        <vt:i4>2031674</vt:i4>
      </vt:variant>
      <vt:variant>
        <vt:i4>248</vt:i4>
      </vt:variant>
      <vt:variant>
        <vt:i4>0</vt:i4>
      </vt:variant>
      <vt:variant>
        <vt:i4>5</vt:i4>
      </vt:variant>
      <vt:variant>
        <vt:lpwstr/>
      </vt:variant>
      <vt:variant>
        <vt:lpwstr>_Toc205899491</vt:lpwstr>
      </vt:variant>
      <vt:variant>
        <vt:i4>2031674</vt:i4>
      </vt:variant>
      <vt:variant>
        <vt:i4>242</vt:i4>
      </vt:variant>
      <vt:variant>
        <vt:i4>0</vt:i4>
      </vt:variant>
      <vt:variant>
        <vt:i4>5</vt:i4>
      </vt:variant>
      <vt:variant>
        <vt:lpwstr/>
      </vt:variant>
      <vt:variant>
        <vt:lpwstr>_Toc205899490</vt:lpwstr>
      </vt:variant>
      <vt:variant>
        <vt:i4>1966138</vt:i4>
      </vt:variant>
      <vt:variant>
        <vt:i4>236</vt:i4>
      </vt:variant>
      <vt:variant>
        <vt:i4>0</vt:i4>
      </vt:variant>
      <vt:variant>
        <vt:i4>5</vt:i4>
      </vt:variant>
      <vt:variant>
        <vt:lpwstr/>
      </vt:variant>
      <vt:variant>
        <vt:lpwstr>_Toc205899489</vt:lpwstr>
      </vt:variant>
      <vt:variant>
        <vt:i4>1966138</vt:i4>
      </vt:variant>
      <vt:variant>
        <vt:i4>230</vt:i4>
      </vt:variant>
      <vt:variant>
        <vt:i4>0</vt:i4>
      </vt:variant>
      <vt:variant>
        <vt:i4>5</vt:i4>
      </vt:variant>
      <vt:variant>
        <vt:lpwstr/>
      </vt:variant>
      <vt:variant>
        <vt:lpwstr>_Toc205899488</vt:lpwstr>
      </vt:variant>
      <vt:variant>
        <vt:i4>1966138</vt:i4>
      </vt:variant>
      <vt:variant>
        <vt:i4>224</vt:i4>
      </vt:variant>
      <vt:variant>
        <vt:i4>0</vt:i4>
      </vt:variant>
      <vt:variant>
        <vt:i4>5</vt:i4>
      </vt:variant>
      <vt:variant>
        <vt:lpwstr/>
      </vt:variant>
      <vt:variant>
        <vt:lpwstr>_Toc205899487</vt:lpwstr>
      </vt:variant>
      <vt:variant>
        <vt:i4>1966138</vt:i4>
      </vt:variant>
      <vt:variant>
        <vt:i4>218</vt:i4>
      </vt:variant>
      <vt:variant>
        <vt:i4>0</vt:i4>
      </vt:variant>
      <vt:variant>
        <vt:i4>5</vt:i4>
      </vt:variant>
      <vt:variant>
        <vt:lpwstr/>
      </vt:variant>
      <vt:variant>
        <vt:lpwstr>_Toc205899486</vt:lpwstr>
      </vt:variant>
      <vt:variant>
        <vt:i4>1966138</vt:i4>
      </vt:variant>
      <vt:variant>
        <vt:i4>212</vt:i4>
      </vt:variant>
      <vt:variant>
        <vt:i4>0</vt:i4>
      </vt:variant>
      <vt:variant>
        <vt:i4>5</vt:i4>
      </vt:variant>
      <vt:variant>
        <vt:lpwstr/>
      </vt:variant>
      <vt:variant>
        <vt:lpwstr>_Toc205899485</vt:lpwstr>
      </vt:variant>
      <vt:variant>
        <vt:i4>1966138</vt:i4>
      </vt:variant>
      <vt:variant>
        <vt:i4>206</vt:i4>
      </vt:variant>
      <vt:variant>
        <vt:i4>0</vt:i4>
      </vt:variant>
      <vt:variant>
        <vt:i4>5</vt:i4>
      </vt:variant>
      <vt:variant>
        <vt:lpwstr/>
      </vt:variant>
      <vt:variant>
        <vt:lpwstr>_Toc205899484</vt:lpwstr>
      </vt:variant>
      <vt:variant>
        <vt:i4>1966138</vt:i4>
      </vt:variant>
      <vt:variant>
        <vt:i4>200</vt:i4>
      </vt:variant>
      <vt:variant>
        <vt:i4>0</vt:i4>
      </vt:variant>
      <vt:variant>
        <vt:i4>5</vt:i4>
      </vt:variant>
      <vt:variant>
        <vt:lpwstr/>
      </vt:variant>
      <vt:variant>
        <vt:lpwstr>_Toc205899483</vt:lpwstr>
      </vt:variant>
      <vt:variant>
        <vt:i4>1966138</vt:i4>
      </vt:variant>
      <vt:variant>
        <vt:i4>194</vt:i4>
      </vt:variant>
      <vt:variant>
        <vt:i4>0</vt:i4>
      </vt:variant>
      <vt:variant>
        <vt:i4>5</vt:i4>
      </vt:variant>
      <vt:variant>
        <vt:lpwstr/>
      </vt:variant>
      <vt:variant>
        <vt:lpwstr>_Toc205899482</vt:lpwstr>
      </vt:variant>
      <vt:variant>
        <vt:i4>1966138</vt:i4>
      </vt:variant>
      <vt:variant>
        <vt:i4>188</vt:i4>
      </vt:variant>
      <vt:variant>
        <vt:i4>0</vt:i4>
      </vt:variant>
      <vt:variant>
        <vt:i4>5</vt:i4>
      </vt:variant>
      <vt:variant>
        <vt:lpwstr/>
      </vt:variant>
      <vt:variant>
        <vt:lpwstr>_Toc205899481</vt:lpwstr>
      </vt:variant>
      <vt:variant>
        <vt:i4>1966138</vt:i4>
      </vt:variant>
      <vt:variant>
        <vt:i4>182</vt:i4>
      </vt:variant>
      <vt:variant>
        <vt:i4>0</vt:i4>
      </vt:variant>
      <vt:variant>
        <vt:i4>5</vt:i4>
      </vt:variant>
      <vt:variant>
        <vt:lpwstr/>
      </vt:variant>
      <vt:variant>
        <vt:lpwstr>_Toc205899480</vt:lpwstr>
      </vt:variant>
      <vt:variant>
        <vt:i4>1114170</vt:i4>
      </vt:variant>
      <vt:variant>
        <vt:i4>176</vt:i4>
      </vt:variant>
      <vt:variant>
        <vt:i4>0</vt:i4>
      </vt:variant>
      <vt:variant>
        <vt:i4>5</vt:i4>
      </vt:variant>
      <vt:variant>
        <vt:lpwstr/>
      </vt:variant>
      <vt:variant>
        <vt:lpwstr>_Toc205899479</vt:lpwstr>
      </vt:variant>
      <vt:variant>
        <vt:i4>1114170</vt:i4>
      </vt:variant>
      <vt:variant>
        <vt:i4>170</vt:i4>
      </vt:variant>
      <vt:variant>
        <vt:i4>0</vt:i4>
      </vt:variant>
      <vt:variant>
        <vt:i4>5</vt:i4>
      </vt:variant>
      <vt:variant>
        <vt:lpwstr/>
      </vt:variant>
      <vt:variant>
        <vt:lpwstr>_Toc205899478</vt:lpwstr>
      </vt:variant>
      <vt:variant>
        <vt:i4>1114170</vt:i4>
      </vt:variant>
      <vt:variant>
        <vt:i4>164</vt:i4>
      </vt:variant>
      <vt:variant>
        <vt:i4>0</vt:i4>
      </vt:variant>
      <vt:variant>
        <vt:i4>5</vt:i4>
      </vt:variant>
      <vt:variant>
        <vt:lpwstr/>
      </vt:variant>
      <vt:variant>
        <vt:lpwstr>_Toc205899477</vt:lpwstr>
      </vt:variant>
      <vt:variant>
        <vt:i4>1114170</vt:i4>
      </vt:variant>
      <vt:variant>
        <vt:i4>158</vt:i4>
      </vt:variant>
      <vt:variant>
        <vt:i4>0</vt:i4>
      </vt:variant>
      <vt:variant>
        <vt:i4>5</vt:i4>
      </vt:variant>
      <vt:variant>
        <vt:lpwstr/>
      </vt:variant>
      <vt:variant>
        <vt:lpwstr>_Toc205899476</vt:lpwstr>
      </vt:variant>
      <vt:variant>
        <vt:i4>1114170</vt:i4>
      </vt:variant>
      <vt:variant>
        <vt:i4>152</vt:i4>
      </vt:variant>
      <vt:variant>
        <vt:i4>0</vt:i4>
      </vt:variant>
      <vt:variant>
        <vt:i4>5</vt:i4>
      </vt:variant>
      <vt:variant>
        <vt:lpwstr/>
      </vt:variant>
      <vt:variant>
        <vt:lpwstr>_Toc205899475</vt:lpwstr>
      </vt:variant>
      <vt:variant>
        <vt:i4>1114170</vt:i4>
      </vt:variant>
      <vt:variant>
        <vt:i4>146</vt:i4>
      </vt:variant>
      <vt:variant>
        <vt:i4>0</vt:i4>
      </vt:variant>
      <vt:variant>
        <vt:i4>5</vt:i4>
      </vt:variant>
      <vt:variant>
        <vt:lpwstr/>
      </vt:variant>
      <vt:variant>
        <vt:lpwstr>_Toc205899474</vt:lpwstr>
      </vt:variant>
      <vt:variant>
        <vt:i4>1114170</vt:i4>
      </vt:variant>
      <vt:variant>
        <vt:i4>140</vt:i4>
      </vt:variant>
      <vt:variant>
        <vt:i4>0</vt:i4>
      </vt:variant>
      <vt:variant>
        <vt:i4>5</vt:i4>
      </vt:variant>
      <vt:variant>
        <vt:lpwstr/>
      </vt:variant>
      <vt:variant>
        <vt:lpwstr>_Toc205899473</vt:lpwstr>
      </vt:variant>
      <vt:variant>
        <vt:i4>1114170</vt:i4>
      </vt:variant>
      <vt:variant>
        <vt:i4>134</vt:i4>
      </vt:variant>
      <vt:variant>
        <vt:i4>0</vt:i4>
      </vt:variant>
      <vt:variant>
        <vt:i4>5</vt:i4>
      </vt:variant>
      <vt:variant>
        <vt:lpwstr/>
      </vt:variant>
      <vt:variant>
        <vt:lpwstr>_Toc205899472</vt:lpwstr>
      </vt:variant>
      <vt:variant>
        <vt:i4>1114170</vt:i4>
      </vt:variant>
      <vt:variant>
        <vt:i4>128</vt:i4>
      </vt:variant>
      <vt:variant>
        <vt:i4>0</vt:i4>
      </vt:variant>
      <vt:variant>
        <vt:i4>5</vt:i4>
      </vt:variant>
      <vt:variant>
        <vt:lpwstr/>
      </vt:variant>
      <vt:variant>
        <vt:lpwstr>_Toc205899471</vt:lpwstr>
      </vt:variant>
      <vt:variant>
        <vt:i4>1114170</vt:i4>
      </vt:variant>
      <vt:variant>
        <vt:i4>122</vt:i4>
      </vt:variant>
      <vt:variant>
        <vt:i4>0</vt:i4>
      </vt:variant>
      <vt:variant>
        <vt:i4>5</vt:i4>
      </vt:variant>
      <vt:variant>
        <vt:lpwstr/>
      </vt:variant>
      <vt:variant>
        <vt:lpwstr>_Toc205899470</vt:lpwstr>
      </vt:variant>
      <vt:variant>
        <vt:i4>1048634</vt:i4>
      </vt:variant>
      <vt:variant>
        <vt:i4>116</vt:i4>
      </vt:variant>
      <vt:variant>
        <vt:i4>0</vt:i4>
      </vt:variant>
      <vt:variant>
        <vt:i4>5</vt:i4>
      </vt:variant>
      <vt:variant>
        <vt:lpwstr/>
      </vt:variant>
      <vt:variant>
        <vt:lpwstr>_Toc205899469</vt:lpwstr>
      </vt:variant>
      <vt:variant>
        <vt:i4>1048634</vt:i4>
      </vt:variant>
      <vt:variant>
        <vt:i4>110</vt:i4>
      </vt:variant>
      <vt:variant>
        <vt:i4>0</vt:i4>
      </vt:variant>
      <vt:variant>
        <vt:i4>5</vt:i4>
      </vt:variant>
      <vt:variant>
        <vt:lpwstr/>
      </vt:variant>
      <vt:variant>
        <vt:lpwstr>_Toc205899468</vt:lpwstr>
      </vt:variant>
      <vt:variant>
        <vt:i4>1048634</vt:i4>
      </vt:variant>
      <vt:variant>
        <vt:i4>104</vt:i4>
      </vt:variant>
      <vt:variant>
        <vt:i4>0</vt:i4>
      </vt:variant>
      <vt:variant>
        <vt:i4>5</vt:i4>
      </vt:variant>
      <vt:variant>
        <vt:lpwstr/>
      </vt:variant>
      <vt:variant>
        <vt:lpwstr>_Toc205899467</vt:lpwstr>
      </vt:variant>
      <vt:variant>
        <vt:i4>1048634</vt:i4>
      </vt:variant>
      <vt:variant>
        <vt:i4>98</vt:i4>
      </vt:variant>
      <vt:variant>
        <vt:i4>0</vt:i4>
      </vt:variant>
      <vt:variant>
        <vt:i4>5</vt:i4>
      </vt:variant>
      <vt:variant>
        <vt:lpwstr/>
      </vt:variant>
      <vt:variant>
        <vt:lpwstr>_Toc205899466</vt:lpwstr>
      </vt:variant>
      <vt:variant>
        <vt:i4>1048634</vt:i4>
      </vt:variant>
      <vt:variant>
        <vt:i4>92</vt:i4>
      </vt:variant>
      <vt:variant>
        <vt:i4>0</vt:i4>
      </vt:variant>
      <vt:variant>
        <vt:i4>5</vt:i4>
      </vt:variant>
      <vt:variant>
        <vt:lpwstr/>
      </vt:variant>
      <vt:variant>
        <vt:lpwstr>_Toc205899465</vt:lpwstr>
      </vt:variant>
      <vt:variant>
        <vt:i4>1048634</vt:i4>
      </vt:variant>
      <vt:variant>
        <vt:i4>86</vt:i4>
      </vt:variant>
      <vt:variant>
        <vt:i4>0</vt:i4>
      </vt:variant>
      <vt:variant>
        <vt:i4>5</vt:i4>
      </vt:variant>
      <vt:variant>
        <vt:lpwstr/>
      </vt:variant>
      <vt:variant>
        <vt:lpwstr>_Toc205899464</vt:lpwstr>
      </vt:variant>
      <vt:variant>
        <vt:i4>1048634</vt:i4>
      </vt:variant>
      <vt:variant>
        <vt:i4>80</vt:i4>
      </vt:variant>
      <vt:variant>
        <vt:i4>0</vt:i4>
      </vt:variant>
      <vt:variant>
        <vt:i4>5</vt:i4>
      </vt:variant>
      <vt:variant>
        <vt:lpwstr/>
      </vt:variant>
      <vt:variant>
        <vt:lpwstr>_Toc205899463</vt:lpwstr>
      </vt:variant>
      <vt:variant>
        <vt:i4>1048634</vt:i4>
      </vt:variant>
      <vt:variant>
        <vt:i4>74</vt:i4>
      </vt:variant>
      <vt:variant>
        <vt:i4>0</vt:i4>
      </vt:variant>
      <vt:variant>
        <vt:i4>5</vt:i4>
      </vt:variant>
      <vt:variant>
        <vt:lpwstr/>
      </vt:variant>
      <vt:variant>
        <vt:lpwstr>_Toc205899462</vt:lpwstr>
      </vt:variant>
      <vt:variant>
        <vt:i4>1048634</vt:i4>
      </vt:variant>
      <vt:variant>
        <vt:i4>68</vt:i4>
      </vt:variant>
      <vt:variant>
        <vt:i4>0</vt:i4>
      </vt:variant>
      <vt:variant>
        <vt:i4>5</vt:i4>
      </vt:variant>
      <vt:variant>
        <vt:lpwstr/>
      </vt:variant>
      <vt:variant>
        <vt:lpwstr>_Toc205899461</vt:lpwstr>
      </vt:variant>
      <vt:variant>
        <vt:i4>1048634</vt:i4>
      </vt:variant>
      <vt:variant>
        <vt:i4>62</vt:i4>
      </vt:variant>
      <vt:variant>
        <vt:i4>0</vt:i4>
      </vt:variant>
      <vt:variant>
        <vt:i4>5</vt:i4>
      </vt:variant>
      <vt:variant>
        <vt:lpwstr/>
      </vt:variant>
      <vt:variant>
        <vt:lpwstr>_Toc205899460</vt:lpwstr>
      </vt:variant>
      <vt:variant>
        <vt:i4>1245242</vt:i4>
      </vt:variant>
      <vt:variant>
        <vt:i4>56</vt:i4>
      </vt:variant>
      <vt:variant>
        <vt:i4>0</vt:i4>
      </vt:variant>
      <vt:variant>
        <vt:i4>5</vt:i4>
      </vt:variant>
      <vt:variant>
        <vt:lpwstr/>
      </vt:variant>
      <vt:variant>
        <vt:lpwstr>_Toc205899459</vt:lpwstr>
      </vt:variant>
      <vt:variant>
        <vt:i4>1245242</vt:i4>
      </vt:variant>
      <vt:variant>
        <vt:i4>50</vt:i4>
      </vt:variant>
      <vt:variant>
        <vt:i4>0</vt:i4>
      </vt:variant>
      <vt:variant>
        <vt:i4>5</vt:i4>
      </vt:variant>
      <vt:variant>
        <vt:lpwstr/>
      </vt:variant>
      <vt:variant>
        <vt:lpwstr>_Toc205899458</vt:lpwstr>
      </vt:variant>
      <vt:variant>
        <vt:i4>1245242</vt:i4>
      </vt:variant>
      <vt:variant>
        <vt:i4>44</vt:i4>
      </vt:variant>
      <vt:variant>
        <vt:i4>0</vt:i4>
      </vt:variant>
      <vt:variant>
        <vt:i4>5</vt:i4>
      </vt:variant>
      <vt:variant>
        <vt:lpwstr/>
      </vt:variant>
      <vt:variant>
        <vt:lpwstr>_Toc205899457</vt:lpwstr>
      </vt:variant>
      <vt:variant>
        <vt:i4>1245242</vt:i4>
      </vt:variant>
      <vt:variant>
        <vt:i4>38</vt:i4>
      </vt:variant>
      <vt:variant>
        <vt:i4>0</vt:i4>
      </vt:variant>
      <vt:variant>
        <vt:i4>5</vt:i4>
      </vt:variant>
      <vt:variant>
        <vt:lpwstr/>
      </vt:variant>
      <vt:variant>
        <vt:lpwstr>_Toc205899456</vt:lpwstr>
      </vt:variant>
      <vt:variant>
        <vt:i4>1245242</vt:i4>
      </vt:variant>
      <vt:variant>
        <vt:i4>32</vt:i4>
      </vt:variant>
      <vt:variant>
        <vt:i4>0</vt:i4>
      </vt:variant>
      <vt:variant>
        <vt:i4>5</vt:i4>
      </vt:variant>
      <vt:variant>
        <vt:lpwstr/>
      </vt:variant>
      <vt:variant>
        <vt:lpwstr>_Toc205899455</vt:lpwstr>
      </vt:variant>
      <vt:variant>
        <vt:i4>1245242</vt:i4>
      </vt:variant>
      <vt:variant>
        <vt:i4>26</vt:i4>
      </vt:variant>
      <vt:variant>
        <vt:i4>0</vt:i4>
      </vt:variant>
      <vt:variant>
        <vt:i4>5</vt:i4>
      </vt:variant>
      <vt:variant>
        <vt:lpwstr/>
      </vt:variant>
      <vt:variant>
        <vt:lpwstr>_Toc205899454</vt:lpwstr>
      </vt:variant>
      <vt:variant>
        <vt:i4>1245242</vt:i4>
      </vt:variant>
      <vt:variant>
        <vt:i4>20</vt:i4>
      </vt:variant>
      <vt:variant>
        <vt:i4>0</vt:i4>
      </vt:variant>
      <vt:variant>
        <vt:i4>5</vt:i4>
      </vt:variant>
      <vt:variant>
        <vt:lpwstr/>
      </vt:variant>
      <vt:variant>
        <vt:lpwstr>_Toc205899453</vt:lpwstr>
      </vt:variant>
      <vt:variant>
        <vt:i4>1245242</vt:i4>
      </vt:variant>
      <vt:variant>
        <vt:i4>14</vt:i4>
      </vt:variant>
      <vt:variant>
        <vt:i4>0</vt:i4>
      </vt:variant>
      <vt:variant>
        <vt:i4>5</vt:i4>
      </vt:variant>
      <vt:variant>
        <vt:lpwstr/>
      </vt:variant>
      <vt:variant>
        <vt:lpwstr>_Toc205899452</vt:lpwstr>
      </vt:variant>
      <vt:variant>
        <vt:i4>1245242</vt:i4>
      </vt:variant>
      <vt:variant>
        <vt:i4>8</vt:i4>
      </vt:variant>
      <vt:variant>
        <vt:i4>0</vt:i4>
      </vt:variant>
      <vt:variant>
        <vt:i4>5</vt:i4>
      </vt:variant>
      <vt:variant>
        <vt:lpwstr/>
      </vt:variant>
      <vt:variant>
        <vt:lpwstr>_Toc205899451</vt:lpwstr>
      </vt:variant>
      <vt:variant>
        <vt:i4>1245242</vt:i4>
      </vt:variant>
      <vt:variant>
        <vt:i4>2</vt:i4>
      </vt:variant>
      <vt:variant>
        <vt:i4>0</vt:i4>
      </vt:variant>
      <vt:variant>
        <vt:i4>5</vt:i4>
      </vt:variant>
      <vt:variant>
        <vt:lpwstr/>
      </vt:variant>
      <vt:variant>
        <vt:lpwstr>_Toc205899450</vt:lpwstr>
      </vt:variant>
      <vt:variant>
        <vt:i4>1704018</vt:i4>
      </vt:variant>
      <vt:variant>
        <vt:i4>21</vt:i4>
      </vt:variant>
      <vt:variant>
        <vt:i4>0</vt:i4>
      </vt:variant>
      <vt:variant>
        <vt:i4>5</vt:i4>
      </vt:variant>
      <vt:variant>
        <vt:lpwstr>https://nwcouncil.app.box.com/s/m2877jpsigx2m3mv0u401wtfle0t5z8y</vt:lpwstr>
      </vt:variant>
      <vt:variant>
        <vt:lpwstr/>
      </vt:variant>
      <vt:variant>
        <vt:i4>6291461</vt:i4>
      </vt:variant>
      <vt:variant>
        <vt:i4>18</vt:i4>
      </vt:variant>
      <vt:variant>
        <vt:i4>0</vt:i4>
      </vt:variant>
      <vt:variant>
        <vt:i4>5</vt:i4>
      </vt:variant>
      <vt:variant>
        <vt:lpwstr>https://www.epa.gov/sites/production/files/2016-12/documents/social_cost_of_carbon_fact_sheet.pdf</vt:lpwstr>
      </vt:variant>
      <vt:variant>
        <vt:lpwstr/>
      </vt:variant>
      <vt:variant>
        <vt:i4>2752545</vt:i4>
      </vt:variant>
      <vt:variant>
        <vt:i4>15</vt:i4>
      </vt:variant>
      <vt:variant>
        <vt:i4>0</vt:i4>
      </vt:variant>
      <vt:variant>
        <vt:i4>5</vt:i4>
      </vt:variant>
      <vt:variant>
        <vt:lpwstr>https://edocs.puc.state.or.us/efdocs/HAU/um1893hau334281025.pdf</vt:lpwstr>
      </vt:variant>
      <vt:variant>
        <vt:lpwstr/>
      </vt:variant>
      <vt:variant>
        <vt:i4>3932274</vt:i4>
      </vt:variant>
      <vt:variant>
        <vt:i4>12</vt:i4>
      </vt:variant>
      <vt:variant>
        <vt:i4>0</vt:i4>
      </vt:variant>
      <vt:variant>
        <vt:i4>5</vt:i4>
      </vt:variant>
      <vt:variant>
        <vt:lpwstr>https://www.pacificorp.com/energy/integrated-resource-plan/support.html</vt:lpwstr>
      </vt:variant>
      <vt:variant>
        <vt:lpwstr/>
      </vt:variant>
      <vt:variant>
        <vt:i4>7864386</vt:i4>
      </vt:variant>
      <vt:variant>
        <vt:i4>9</vt:i4>
      </vt:variant>
      <vt:variant>
        <vt:i4>0</vt:i4>
      </vt:variant>
      <vt:variant>
        <vt:i4>5</vt:i4>
      </vt:variant>
      <vt:variant>
        <vt:lpwstr>https://www.pse.com/-/media/PDFs/IRP/2023/electric/chapters/05_EPR23_Ch5_Final.pdf</vt:lpwstr>
      </vt:variant>
      <vt:variant>
        <vt:lpwstr/>
      </vt:variant>
      <vt:variant>
        <vt:i4>7143551</vt:i4>
      </vt:variant>
      <vt:variant>
        <vt:i4>6</vt:i4>
      </vt:variant>
      <vt:variant>
        <vt:i4>0</vt:i4>
      </vt:variant>
      <vt:variant>
        <vt:i4>5</vt:i4>
      </vt:variant>
      <vt:variant>
        <vt:lpwstr>https://app.leg.wa.gov/WAC/default.aspx?cite=194-40-100</vt:lpwstr>
      </vt:variant>
      <vt:variant>
        <vt:lpwstr/>
      </vt:variant>
      <vt:variant>
        <vt:i4>7143545</vt:i4>
      </vt:variant>
      <vt:variant>
        <vt:i4>3</vt:i4>
      </vt:variant>
      <vt:variant>
        <vt:i4>0</vt:i4>
      </vt:variant>
      <vt:variant>
        <vt:i4>5</vt:i4>
      </vt:variant>
      <vt:variant>
        <vt:lpwstr>https://app.leg.wa.gov/wac/default.aspx?cite=194-37-070</vt:lpwstr>
      </vt:variant>
      <vt:variant>
        <vt:lpwstr/>
      </vt:variant>
      <vt:variant>
        <vt:i4>6291461</vt:i4>
      </vt:variant>
      <vt:variant>
        <vt:i4>0</vt:i4>
      </vt:variant>
      <vt:variant>
        <vt:i4>0</vt:i4>
      </vt:variant>
      <vt:variant>
        <vt:i4>5</vt:i4>
      </vt:variant>
      <vt:variant>
        <vt:lpwstr>https://www.epa.gov/sites/production/files/2016-12/documents/social_cost_of_carbon_fact_sheet.pdf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Conservation Potential Assessment</dc:title>
  <dc:subject>Inland Power &amp; Light Company</dc:subject>
  <dc:creator>Ted Light</dc:creator>
  <cp:keywords/>
  <dc:description/>
  <cp:lastModifiedBy>Ted Light</cp:lastModifiedBy>
  <cp:revision>271</cp:revision>
  <cp:lastPrinted>2020-09-15T14:50:00Z</cp:lastPrinted>
  <dcterms:created xsi:type="dcterms:W3CDTF">2025-09-04T09:36:00Z</dcterms:created>
  <dcterms:modified xsi:type="dcterms:W3CDTF">2025-09-08T15:41:00Z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0x0101006F8A0AA65DC4A34BB23F38BF74412B8E</vt:lpwstr>
  </property>
  <property fmtid="{D5CDD505-2E9C-101B-9397-08002B2CF9AE}" pid="3" name="MediaServiceImageTags">
    <vt:lpwstr/>
  </property>
</Properties>
</file>